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C1CD" w14:textId="77777777" w:rsidR="00C622C4" w:rsidRPr="007245AD" w:rsidRDefault="007245AD" w:rsidP="007245AD">
      <w:pPr>
        <w:ind w:left="7920"/>
        <w:jc w:val="center"/>
        <w:rPr>
          <w:b/>
          <w:sz w:val="24"/>
          <w:szCs w:val="24"/>
        </w:rPr>
      </w:pPr>
      <w:r w:rsidRPr="007245AD">
        <w:rPr>
          <w:b/>
          <w:sz w:val="24"/>
          <w:szCs w:val="24"/>
        </w:rPr>
        <w:t xml:space="preserve">Appendix One </w:t>
      </w:r>
    </w:p>
    <w:p w14:paraId="6CB2A053" w14:textId="77777777" w:rsidR="00024833" w:rsidRDefault="00024833">
      <w:pPr>
        <w:rPr>
          <w:b/>
          <w:sz w:val="72"/>
          <w:szCs w:val="40"/>
        </w:rPr>
      </w:pPr>
    </w:p>
    <w:p w14:paraId="1BBD7B9A" w14:textId="77777777" w:rsidR="00024833" w:rsidRDefault="00024833">
      <w:pPr>
        <w:rPr>
          <w:b/>
          <w:sz w:val="72"/>
          <w:szCs w:val="40"/>
        </w:rPr>
      </w:pPr>
    </w:p>
    <w:p w14:paraId="4F3B88B4" w14:textId="77777777" w:rsidR="00024833" w:rsidRDefault="00024833">
      <w:pPr>
        <w:rPr>
          <w:b/>
          <w:sz w:val="72"/>
          <w:szCs w:val="40"/>
        </w:rPr>
      </w:pPr>
    </w:p>
    <w:p w14:paraId="39F83F5A" w14:textId="1E251AD3" w:rsidR="00306094" w:rsidRPr="00A23253" w:rsidRDefault="00A23253" w:rsidP="002E1ED4">
      <w:pPr>
        <w:jc w:val="center"/>
        <w:rPr>
          <w:b/>
          <w:color w:val="FF0000"/>
          <w:sz w:val="72"/>
          <w:szCs w:val="40"/>
        </w:rPr>
      </w:pPr>
      <w:r w:rsidRPr="00A23253">
        <w:rPr>
          <w:b/>
          <w:color w:val="FF0000"/>
          <w:sz w:val="72"/>
          <w:szCs w:val="40"/>
        </w:rPr>
        <w:t>draft</w:t>
      </w:r>
    </w:p>
    <w:p w14:paraId="03A330FF" w14:textId="77777777" w:rsidR="001E25D1" w:rsidRDefault="00306094" w:rsidP="002E1ED4">
      <w:pPr>
        <w:jc w:val="center"/>
        <w:rPr>
          <w:b/>
          <w:sz w:val="72"/>
          <w:szCs w:val="40"/>
        </w:rPr>
      </w:pPr>
      <w:r w:rsidRPr="00306094">
        <w:rPr>
          <w:b/>
          <w:sz w:val="72"/>
          <w:szCs w:val="40"/>
        </w:rPr>
        <w:t>Budget M</w:t>
      </w:r>
      <w:r w:rsidR="001E25D1">
        <w:rPr>
          <w:b/>
          <w:sz w:val="72"/>
          <w:szCs w:val="40"/>
        </w:rPr>
        <w:t>anagement</w:t>
      </w:r>
    </w:p>
    <w:p w14:paraId="269B5D30" w14:textId="77777777" w:rsidR="00306094" w:rsidRDefault="007245AD" w:rsidP="002E1ED4">
      <w:pPr>
        <w:jc w:val="center"/>
        <w:rPr>
          <w:b/>
          <w:sz w:val="72"/>
          <w:szCs w:val="40"/>
        </w:rPr>
      </w:pPr>
      <w:r>
        <w:rPr>
          <w:b/>
          <w:sz w:val="72"/>
          <w:szCs w:val="40"/>
        </w:rPr>
        <w:t xml:space="preserve">Report </w:t>
      </w:r>
    </w:p>
    <w:p w14:paraId="3152B6E8" w14:textId="35CF96D7" w:rsidR="000C5A3F" w:rsidRDefault="008F0FF8" w:rsidP="002E1ED4">
      <w:pPr>
        <w:jc w:val="center"/>
        <w:rPr>
          <w:b/>
          <w:sz w:val="72"/>
          <w:szCs w:val="40"/>
        </w:rPr>
      </w:pPr>
      <w:r>
        <w:rPr>
          <w:b/>
          <w:sz w:val="72"/>
          <w:szCs w:val="40"/>
        </w:rPr>
        <w:t xml:space="preserve">Month </w:t>
      </w:r>
      <w:r w:rsidR="002479CA">
        <w:rPr>
          <w:b/>
          <w:sz w:val="72"/>
          <w:szCs w:val="40"/>
        </w:rPr>
        <w:t>6</w:t>
      </w:r>
      <w:r>
        <w:rPr>
          <w:b/>
          <w:sz w:val="72"/>
          <w:szCs w:val="40"/>
        </w:rPr>
        <w:t xml:space="preserve"> </w:t>
      </w:r>
      <w:r w:rsidR="008550C8">
        <w:rPr>
          <w:b/>
          <w:sz w:val="72"/>
          <w:szCs w:val="40"/>
        </w:rPr>
        <w:t xml:space="preserve">  </w:t>
      </w:r>
      <w:r w:rsidR="000C5A3F">
        <w:rPr>
          <w:b/>
          <w:sz w:val="72"/>
          <w:szCs w:val="40"/>
        </w:rPr>
        <w:t>2017/18</w:t>
      </w:r>
    </w:p>
    <w:p w14:paraId="4D3FAC29" w14:textId="77777777" w:rsidR="007245AD" w:rsidRPr="00306094" w:rsidRDefault="007245AD" w:rsidP="002E1ED4">
      <w:pPr>
        <w:jc w:val="center"/>
        <w:rPr>
          <w:b/>
          <w:sz w:val="72"/>
          <w:szCs w:val="40"/>
        </w:rPr>
      </w:pPr>
    </w:p>
    <w:p w14:paraId="1EBC7E7B" w14:textId="29342A37" w:rsidR="00306094" w:rsidRPr="000C5A3F" w:rsidRDefault="001E25D1" w:rsidP="002E1ED4">
      <w:pPr>
        <w:jc w:val="center"/>
        <w:rPr>
          <w:b/>
          <w:sz w:val="52"/>
          <w:szCs w:val="52"/>
        </w:rPr>
      </w:pPr>
      <w:r w:rsidRPr="000C5A3F">
        <w:rPr>
          <w:b/>
          <w:sz w:val="52"/>
          <w:szCs w:val="52"/>
        </w:rPr>
        <w:t xml:space="preserve">As at </w:t>
      </w:r>
      <w:r w:rsidR="002479CA">
        <w:rPr>
          <w:b/>
          <w:sz w:val="52"/>
          <w:szCs w:val="52"/>
        </w:rPr>
        <w:t>September</w:t>
      </w:r>
      <w:r w:rsidR="008F0FF8">
        <w:rPr>
          <w:b/>
          <w:sz w:val="52"/>
          <w:szCs w:val="52"/>
        </w:rPr>
        <w:t xml:space="preserve"> </w:t>
      </w:r>
      <w:r w:rsidR="00306094" w:rsidRPr="000C5A3F">
        <w:rPr>
          <w:b/>
          <w:sz w:val="52"/>
          <w:szCs w:val="52"/>
        </w:rPr>
        <w:t>201</w:t>
      </w:r>
      <w:r w:rsidR="002E1ED4" w:rsidRPr="000C5A3F">
        <w:rPr>
          <w:b/>
          <w:sz w:val="52"/>
          <w:szCs w:val="52"/>
        </w:rPr>
        <w:t>7</w:t>
      </w:r>
    </w:p>
    <w:p w14:paraId="404D0981" w14:textId="77777777" w:rsidR="00024833" w:rsidRDefault="00024833">
      <w:pPr>
        <w:rPr>
          <w:b/>
          <w:sz w:val="72"/>
          <w:szCs w:val="40"/>
        </w:rPr>
      </w:pPr>
    </w:p>
    <w:p w14:paraId="66726504" w14:textId="77777777" w:rsidR="00024833" w:rsidRDefault="00024833">
      <w:pPr>
        <w:rPr>
          <w:b/>
          <w:sz w:val="72"/>
          <w:szCs w:val="40"/>
        </w:rPr>
      </w:pPr>
    </w:p>
    <w:p w14:paraId="4D9A2B69" w14:textId="77777777" w:rsidR="00024833" w:rsidRDefault="00024833">
      <w:pPr>
        <w:rPr>
          <w:b/>
          <w:sz w:val="72"/>
          <w:szCs w:val="40"/>
        </w:rPr>
      </w:pPr>
    </w:p>
    <w:p w14:paraId="2E8036A2" w14:textId="77777777" w:rsidR="00024833" w:rsidRPr="00306094" w:rsidRDefault="00024833">
      <w:pPr>
        <w:rPr>
          <w:b/>
          <w:sz w:val="72"/>
          <w:szCs w:val="40"/>
        </w:rPr>
      </w:pPr>
    </w:p>
    <w:p w14:paraId="07BCB661" w14:textId="77777777" w:rsidR="00C622C4" w:rsidRDefault="00C622C4">
      <w:pPr>
        <w:spacing w:after="160" w:line="259" w:lineRule="auto"/>
        <w:rPr>
          <w:rFonts w:cs="Arial"/>
        </w:rPr>
      </w:pPr>
    </w:p>
    <w:p w14:paraId="6DAD4C53" w14:textId="77777777" w:rsidR="00306094" w:rsidRDefault="00306094">
      <w:pPr>
        <w:spacing w:after="160" w:line="259" w:lineRule="auto"/>
        <w:rPr>
          <w:rFonts w:cs="Arial"/>
        </w:rPr>
        <w:sectPr w:rsidR="00306094" w:rsidSect="00E30450">
          <w:footerReference w:type="default" r:id="rId8"/>
          <w:pgSz w:w="11906" w:h="16838" w:code="9"/>
          <w:pgMar w:top="1134" w:right="1134" w:bottom="1134" w:left="1134" w:header="567" w:footer="567" w:gutter="0"/>
          <w:cols w:space="708"/>
          <w:docGrid w:linePitch="360"/>
        </w:sectPr>
      </w:pPr>
    </w:p>
    <w:p w14:paraId="2C5608FC" w14:textId="77777777" w:rsidR="00306094" w:rsidRDefault="00024833" w:rsidP="00024833">
      <w:pPr>
        <w:pStyle w:val="Heading1"/>
      </w:pPr>
      <w:r w:rsidRPr="00024833">
        <w:lastRenderedPageBreak/>
        <w:t>Revenue Budget Performance</w:t>
      </w:r>
    </w:p>
    <w:p w14:paraId="09FAD8C4" w14:textId="77777777" w:rsidR="00F81330" w:rsidRPr="00F81330" w:rsidRDefault="00F81330" w:rsidP="00F81330"/>
    <w:p w14:paraId="5FBDD7D8" w14:textId="41C6A363" w:rsidR="0083323B" w:rsidRDefault="00A30A80" w:rsidP="0083323B">
      <w:pPr>
        <w:rPr>
          <w:rFonts w:ascii="Calibri" w:hAnsi="Calibri"/>
        </w:rPr>
      </w:pPr>
      <w:r>
        <w:t>T</w:t>
      </w:r>
      <w:r w:rsidRPr="00FC5B05">
        <w:t xml:space="preserve">he approved </w:t>
      </w:r>
      <w:r w:rsidR="0083323B">
        <w:t xml:space="preserve">2017/18 </w:t>
      </w:r>
      <w:r>
        <w:t xml:space="preserve">revenue </w:t>
      </w:r>
      <w:r w:rsidRPr="00FC5B05">
        <w:t xml:space="preserve">budget set by the Council in February </w:t>
      </w:r>
      <w:r w:rsidRPr="008C4D94">
        <w:t>201</w:t>
      </w:r>
      <w:r w:rsidR="00B92876">
        <w:t>7</w:t>
      </w:r>
      <w:r w:rsidRPr="008C4D94">
        <w:t xml:space="preserve"> </w:t>
      </w:r>
      <w:r w:rsidR="00AE0F1E">
        <w:t xml:space="preserve">was </w:t>
      </w:r>
      <w:r w:rsidR="00024833" w:rsidRPr="00446066">
        <w:t>£1</w:t>
      </w:r>
      <w:r w:rsidR="002A2D8F" w:rsidRPr="00446066">
        <w:t>3</w:t>
      </w:r>
      <w:r w:rsidR="00024833" w:rsidRPr="00446066">
        <w:t>.</w:t>
      </w:r>
      <w:r w:rsidR="0083323B">
        <w:t>182m</w:t>
      </w:r>
      <w:r w:rsidR="00AE0F1E">
        <w:t>. T</w:t>
      </w:r>
      <w:r w:rsidR="0083323B">
        <w:t xml:space="preserve">he current budget </w:t>
      </w:r>
      <w:r w:rsidR="00AE0F1E">
        <w:t xml:space="preserve">as set out in the table below is </w:t>
      </w:r>
      <w:r w:rsidR="0083323B">
        <w:t>£14.197m, a difference of £1.015m</w:t>
      </w:r>
      <w:r w:rsidR="00AE0F1E">
        <w:t xml:space="preserve">. This is due to </w:t>
      </w:r>
      <w:r w:rsidR="00752B3F">
        <w:t xml:space="preserve">the budget being updated to reflect </w:t>
      </w:r>
      <w:r w:rsidR="00732FD9">
        <w:t xml:space="preserve">the two transactions of receiving </w:t>
      </w:r>
      <w:r w:rsidR="0083323B">
        <w:t>City Deal N</w:t>
      </w:r>
      <w:r w:rsidR="00752B3F">
        <w:t xml:space="preserve">ew </w:t>
      </w:r>
      <w:r w:rsidR="0083323B">
        <w:t>H</w:t>
      </w:r>
      <w:r w:rsidR="00752B3F">
        <w:t xml:space="preserve">omes Bonus and </w:t>
      </w:r>
      <w:r w:rsidR="00732FD9">
        <w:t>the payment out to LCC</w:t>
      </w:r>
      <w:r w:rsidR="00752B3F">
        <w:t xml:space="preserve"> (</w:t>
      </w:r>
      <w:r w:rsidR="0083323B">
        <w:t>£965k</w:t>
      </w:r>
      <w:r w:rsidR="00752B3F">
        <w:t>)</w:t>
      </w:r>
      <w:r w:rsidR="0083323B">
        <w:t xml:space="preserve">, plus additional s31 funding </w:t>
      </w:r>
      <w:r w:rsidR="00752B3F">
        <w:t xml:space="preserve">received </w:t>
      </w:r>
      <w:r w:rsidR="00FD7FBA">
        <w:t xml:space="preserve">(£50k) </w:t>
      </w:r>
      <w:r w:rsidR="0083323B">
        <w:t xml:space="preserve">which has been </w:t>
      </w:r>
      <w:r w:rsidR="00FD7FBA">
        <w:t xml:space="preserve">set aside in </w:t>
      </w:r>
      <w:r w:rsidR="00752B3F">
        <w:t xml:space="preserve">earmarked reserves as it will be required to fund costs in relation to business rates reliefs in </w:t>
      </w:r>
      <w:r w:rsidR="00AC0DA0">
        <w:t>2018/19</w:t>
      </w:r>
      <w:r w:rsidR="00752B3F">
        <w:t xml:space="preserve">. Both these adjustments have no impact on the bottom line budget. </w:t>
      </w:r>
    </w:p>
    <w:p w14:paraId="110E6871" w14:textId="77777777" w:rsidR="0083323B" w:rsidRDefault="0083323B" w:rsidP="0083323B"/>
    <w:p w14:paraId="25428F5B" w14:textId="2A6760B1" w:rsidR="00FE00B8" w:rsidRDefault="00024833" w:rsidP="00024833">
      <w:r w:rsidRPr="00FC5B05">
        <w:t>Th</w:t>
      </w:r>
      <w:r w:rsidR="00A30A80">
        <w:t>is</w:t>
      </w:r>
      <w:r w:rsidRPr="00FC5B05">
        <w:t xml:space="preserve"> </w:t>
      </w:r>
      <w:r w:rsidR="00501E11">
        <w:t xml:space="preserve">report </w:t>
      </w:r>
      <w:r w:rsidRPr="00FC5B05">
        <w:t>compares the profiled 201</w:t>
      </w:r>
      <w:r w:rsidR="00B92876">
        <w:t>7</w:t>
      </w:r>
      <w:r w:rsidRPr="00FC5B05">
        <w:t>/1</w:t>
      </w:r>
      <w:r w:rsidR="00B92876">
        <w:t>8</w:t>
      </w:r>
      <w:r w:rsidRPr="00FC5B05">
        <w:t xml:space="preserve"> budget to the end of </w:t>
      </w:r>
      <w:r w:rsidR="002479CA">
        <w:t>September</w:t>
      </w:r>
      <w:r w:rsidR="00FD005B">
        <w:t xml:space="preserve"> 20</w:t>
      </w:r>
      <w:r w:rsidR="00BB59AB">
        <w:t>1</w:t>
      </w:r>
      <w:r w:rsidR="00B92876">
        <w:t>7</w:t>
      </w:r>
      <w:r w:rsidRPr="00FC5B05">
        <w:t xml:space="preserve"> with net expenditure incurred to the same period end</w:t>
      </w:r>
      <w:r w:rsidR="00BB59AB">
        <w:t xml:space="preserve"> and </w:t>
      </w:r>
      <w:r w:rsidR="00AB2F9C">
        <w:t xml:space="preserve">also the </w:t>
      </w:r>
      <w:r w:rsidR="007B0261">
        <w:t>for</w:t>
      </w:r>
      <w:r w:rsidR="00AB2F9C">
        <w:t xml:space="preserve">ecast </w:t>
      </w:r>
      <w:r w:rsidR="007B0261">
        <w:t>underspend at year end on certain budget heads where permanent variances have occurred.</w:t>
      </w:r>
      <w:r w:rsidRPr="00446066">
        <w:t xml:space="preserve">  </w:t>
      </w:r>
    </w:p>
    <w:p w14:paraId="7792E1A8" w14:textId="77777777" w:rsidR="00FE00B8" w:rsidRDefault="00FE00B8" w:rsidP="00024833"/>
    <w:p w14:paraId="62692451" w14:textId="7A5843C4" w:rsidR="00FA493B" w:rsidRDefault="00FA493B" w:rsidP="00024833">
      <w:pPr>
        <w:rPr>
          <w:lang w:eastAsia="en-GB"/>
        </w:rPr>
      </w:pPr>
      <w:r w:rsidRPr="000E4D09">
        <w:rPr>
          <w:lang w:eastAsia="en-GB"/>
        </w:rPr>
        <w:t xml:space="preserve">The </w:t>
      </w:r>
      <w:r>
        <w:rPr>
          <w:lang w:eastAsia="en-GB"/>
        </w:rPr>
        <w:t xml:space="preserve">period end </w:t>
      </w:r>
      <w:r w:rsidRPr="000E4D09">
        <w:rPr>
          <w:lang w:eastAsia="en-GB"/>
        </w:rPr>
        <w:t xml:space="preserve">variances are </w:t>
      </w:r>
      <w:r>
        <w:rPr>
          <w:lang w:eastAsia="en-GB"/>
        </w:rPr>
        <w:t xml:space="preserve">summarised </w:t>
      </w:r>
      <w:r w:rsidRPr="000E4D09">
        <w:rPr>
          <w:lang w:eastAsia="en-GB"/>
        </w:rPr>
        <w:t>by Directorate</w:t>
      </w:r>
      <w:r>
        <w:rPr>
          <w:lang w:eastAsia="en-GB"/>
        </w:rPr>
        <w:t xml:space="preserve"> which is consistent with the reporting of the Council’s </w:t>
      </w:r>
      <w:r w:rsidRPr="000E4D09">
        <w:rPr>
          <w:lang w:eastAsia="en-GB"/>
        </w:rPr>
        <w:t xml:space="preserve">revenue outturn expenditure and income </w:t>
      </w:r>
      <w:r>
        <w:rPr>
          <w:lang w:eastAsia="en-GB"/>
        </w:rPr>
        <w:t>in the Statement of Accounts.</w:t>
      </w:r>
    </w:p>
    <w:p w14:paraId="4125CBF8" w14:textId="77777777" w:rsidR="00CA7861" w:rsidRDefault="00CA7861" w:rsidP="00024833"/>
    <w:p w14:paraId="490D91FC" w14:textId="77777777" w:rsidR="00AB2F9C" w:rsidRDefault="00AB2F9C" w:rsidP="00024833"/>
    <w:tbl>
      <w:tblPr>
        <w:tblStyle w:val="TableGrid"/>
        <w:tblW w:w="10041" w:type="dxa"/>
        <w:tblInd w:w="-113" w:type="dxa"/>
        <w:tblLook w:val="04A0" w:firstRow="1" w:lastRow="0" w:firstColumn="1" w:lastColumn="0" w:noHBand="0" w:noVBand="1"/>
      </w:tblPr>
      <w:tblGrid>
        <w:gridCol w:w="3640"/>
        <w:gridCol w:w="1316"/>
        <w:gridCol w:w="1354"/>
        <w:gridCol w:w="1354"/>
        <w:gridCol w:w="1319"/>
        <w:gridCol w:w="1134"/>
      </w:tblGrid>
      <w:tr w:rsidR="006366E3" w:rsidRPr="006366E3" w14:paraId="28EE5B52" w14:textId="77777777" w:rsidTr="00B00E10">
        <w:trPr>
          <w:trHeight w:val="1343"/>
        </w:trPr>
        <w:tc>
          <w:tcPr>
            <w:tcW w:w="3640" w:type="dxa"/>
            <w:tcBorders>
              <w:bottom w:val="nil"/>
            </w:tcBorders>
            <w:shd w:val="clear" w:color="auto" w:fill="B4C6E7" w:themeFill="accent5" w:themeFillTint="66"/>
            <w:noWrap/>
            <w:hideMark/>
          </w:tcPr>
          <w:p w14:paraId="28A64C30" w14:textId="77777777" w:rsidR="00AB2F9C" w:rsidRPr="00212006" w:rsidRDefault="00AB2F9C" w:rsidP="00AB2F9C">
            <w:pPr>
              <w:spacing w:line="240" w:lineRule="auto"/>
              <w:jc w:val="left"/>
              <w:rPr>
                <w:rFonts w:cs="Arial"/>
                <w:b/>
                <w:bCs/>
              </w:rPr>
            </w:pPr>
          </w:p>
          <w:p w14:paraId="5857EC72" w14:textId="4356C012" w:rsidR="00FD005B" w:rsidRDefault="00FD005B" w:rsidP="00FD005B">
            <w:pPr>
              <w:spacing w:line="240" w:lineRule="auto"/>
              <w:jc w:val="left"/>
              <w:rPr>
                <w:rFonts w:cs="Arial"/>
                <w:b/>
                <w:bCs/>
                <w:sz w:val="24"/>
                <w:szCs w:val="24"/>
              </w:rPr>
            </w:pPr>
            <w:r>
              <w:rPr>
                <w:rFonts w:cs="Arial"/>
                <w:b/>
                <w:bCs/>
                <w:sz w:val="24"/>
                <w:szCs w:val="24"/>
              </w:rPr>
              <w:t xml:space="preserve">Month </w:t>
            </w:r>
            <w:r w:rsidR="002479CA">
              <w:rPr>
                <w:rFonts w:cs="Arial"/>
                <w:b/>
                <w:bCs/>
                <w:sz w:val="24"/>
                <w:szCs w:val="24"/>
              </w:rPr>
              <w:t>6</w:t>
            </w:r>
            <w:r>
              <w:rPr>
                <w:rFonts w:cs="Arial"/>
                <w:b/>
                <w:bCs/>
                <w:sz w:val="24"/>
                <w:szCs w:val="24"/>
              </w:rPr>
              <w:t xml:space="preserve"> </w:t>
            </w:r>
          </w:p>
          <w:p w14:paraId="0EC58689" w14:textId="4016BF56" w:rsidR="00AB2F9C" w:rsidRPr="00AA795C" w:rsidRDefault="00AB2F9C" w:rsidP="00FD005B">
            <w:pPr>
              <w:spacing w:line="240" w:lineRule="auto"/>
              <w:jc w:val="left"/>
              <w:rPr>
                <w:rFonts w:cs="Arial"/>
                <w:sz w:val="24"/>
                <w:szCs w:val="24"/>
              </w:rPr>
            </w:pPr>
            <w:r w:rsidRPr="00AA795C">
              <w:rPr>
                <w:rFonts w:cs="Arial"/>
                <w:b/>
                <w:bCs/>
                <w:sz w:val="24"/>
                <w:szCs w:val="24"/>
              </w:rPr>
              <w:t>Budget Summary</w:t>
            </w:r>
            <w:r w:rsidR="0064026C" w:rsidRPr="00AA795C">
              <w:rPr>
                <w:rFonts w:cs="Arial"/>
                <w:b/>
                <w:bCs/>
                <w:sz w:val="24"/>
                <w:szCs w:val="24"/>
              </w:rPr>
              <w:t xml:space="preserve"> </w:t>
            </w:r>
          </w:p>
        </w:tc>
        <w:tc>
          <w:tcPr>
            <w:tcW w:w="1316" w:type="dxa"/>
            <w:tcBorders>
              <w:bottom w:val="nil"/>
            </w:tcBorders>
            <w:shd w:val="clear" w:color="auto" w:fill="B4C6E7" w:themeFill="accent5" w:themeFillTint="66"/>
            <w:noWrap/>
            <w:hideMark/>
          </w:tcPr>
          <w:p w14:paraId="4AC6F8FB" w14:textId="77777777" w:rsidR="00AB2F9C" w:rsidRPr="00212006" w:rsidRDefault="00AB2F9C" w:rsidP="00AB2F9C">
            <w:pPr>
              <w:spacing w:line="240" w:lineRule="auto"/>
              <w:jc w:val="center"/>
              <w:rPr>
                <w:rFonts w:cs="Arial"/>
                <w:b/>
                <w:bCs/>
              </w:rPr>
            </w:pPr>
            <w:r w:rsidRPr="00212006">
              <w:rPr>
                <w:rFonts w:cs="Arial"/>
                <w:b/>
                <w:bCs/>
              </w:rPr>
              <w:t>2017/18</w:t>
            </w:r>
          </w:p>
          <w:p w14:paraId="4E4A8C66" w14:textId="77777777" w:rsidR="00AB2F9C" w:rsidRPr="00212006" w:rsidRDefault="00AB2F9C" w:rsidP="00AB2F9C">
            <w:pPr>
              <w:spacing w:line="240" w:lineRule="auto"/>
              <w:jc w:val="center"/>
              <w:rPr>
                <w:rFonts w:cs="Arial"/>
                <w:b/>
                <w:bCs/>
              </w:rPr>
            </w:pPr>
            <w:r w:rsidRPr="00212006">
              <w:rPr>
                <w:rFonts w:cs="Arial"/>
                <w:b/>
                <w:bCs/>
              </w:rPr>
              <w:t>Full Year</w:t>
            </w:r>
          </w:p>
          <w:p w14:paraId="1CF90F61" w14:textId="77777777" w:rsidR="00AB2F9C" w:rsidRPr="00212006" w:rsidRDefault="00AB2F9C" w:rsidP="00AB2F9C">
            <w:pPr>
              <w:spacing w:line="240" w:lineRule="auto"/>
              <w:jc w:val="center"/>
              <w:rPr>
                <w:rFonts w:cs="Arial"/>
                <w:b/>
                <w:bCs/>
              </w:rPr>
            </w:pPr>
            <w:r w:rsidRPr="00212006">
              <w:rPr>
                <w:rFonts w:cs="Arial"/>
                <w:b/>
                <w:bCs/>
              </w:rPr>
              <w:t>Budget</w:t>
            </w:r>
          </w:p>
          <w:p w14:paraId="19CFCC6A" w14:textId="77777777" w:rsidR="00AB2F9C" w:rsidRPr="00212006" w:rsidRDefault="00AB2F9C" w:rsidP="00AB2F9C">
            <w:pPr>
              <w:spacing w:line="240" w:lineRule="auto"/>
              <w:jc w:val="center"/>
              <w:rPr>
                <w:rFonts w:cs="Arial"/>
                <w:b/>
                <w:bCs/>
                <w:sz w:val="20"/>
                <w:szCs w:val="20"/>
              </w:rPr>
            </w:pPr>
            <w:r w:rsidRPr="00212006">
              <w:rPr>
                <w:rFonts w:cs="Arial"/>
                <w:b/>
                <w:bCs/>
                <w:sz w:val="20"/>
                <w:szCs w:val="20"/>
              </w:rPr>
              <w:t>(excluding recharges)</w:t>
            </w:r>
          </w:p>
        </w:tc>
        <w:tc>
          <w:tcPr>
            <w:tcW w:w="1316" w:type="dxa"/>
            <w:tcBorders>
              <w:bottom w:val="nil"/>
            </w:tcBorders>
            <w:shd w:val="clear" w:color="auto" w:fill="B4C6E7" w:themeFill="accent5" w:themeFillTint="66"/>
            <w:noWrap/>
            <w:hideMark/>
          </w:tcPr>
          <w:p w14:paraId="53E1BF9F" w14:textId="77777777" w:rsidR="00AB2F9C" w:rsidRPr="00212006" w:rsidRDefault="00AB2F9C" w:rsidP="00AB2F9C">
            <w:pPr>
              <w:spacing w:line="240" w:lineRule="auto"/>
              <w:jc w:val="center"/>
              <w:rPr>
                <w:rFonts w:cs="Arial"/>
                <w:b/>
                <w:bCs/>
              </w:rPr>
            </w:pPr>
            <w:r w:rsidRPr="00212006">
              <w:rPr>
                <w:rFonts w:cs="Arial"/>
                <w:b/>
                <w:bCs/>
              </w:rPr>
              <w:t>2017/18</w:t>
            </w:r>
          </w:p>
          <w:p w14:paraId="16810AAF" w14:textId="77777777" w:rsidR="00AB2F9C" w:rsidRPr="00212006" w:rsidRDefault="00AB2F9C" w:rsidP="00AB2F9C">
            <w:pPr>
              <w:spacing w:line="240" w:lineRule="auto"/>
              <w:jc w:val="center"/>
              <w:rPr>
                <w:rFonts w:cs="Arial"/>
                <w:b/>
                <w:bCs/>
              </w:rPr>
            </w:pPr>
            <w:r w:rsidRPr="00212006">
              <w:rPr>
                <w:rFonts w:cs="Arial"/>
                <w:b/>
                <w:bCs/>
              </w:rPr>
              <w:t>Profiled</w:t>
            </w:r>
          </w:p>
          <w:p w14:paraId="6F839FD5" w14:textId="77777777" w:rsidR="00AB2F9C" w:rsidRPr="00212006" w:rsidRDefault="00AB2F9C" w:rsidP="00AB2F9C">
            <w:pPr>
              <w:spacing w:line="240" w:lineRule="auto"/>
              <w:jc w:val="center"/>
              <w:rPr>
                <w:rFonts w:cs="Arial"/>
                <w:b/>
                <w:bCs/>
              </w:rPr>
            </w:pPr>
            <w:r w:rsidRPr="00212006">
              <w:rPr>
                <w:rFonts w:cs="Arial"/>
                <w:b/>
                <w:bCs/>
              </w:rPr>
              <w:t>Budget</w:t>
            </w:r>
          </w:p>
          <w:p w14:paraId="27979A6D" w14:textId="6674D8CB" w:rsidR="00AB2F9C" w:rsidRPr="00212006" w:rsidRDefault="00AB2F9C" w:rsidP="00FD005B">
            <w:pPr>
              <w:spacing w:line="240" w:lineRule="auto"/>
              <w:jc w:val="center"/>
              <w:rPr>
                <w:rFonts w:cs="Arial"/>
                <w:b/>
                <w:bCs/>
              </w:rPr>
            </w:pPr>
            <w:r w:rsidRPr="00212006">
              <w:rPr>
                <w:rFonts w:cs="Arial"/>
                <w:b/>
                <w:bCs/>
              </w:rPr>
              <w:t xml:space="preserve">to </w:t>
            </w:r>
            <w:r w:rsidR="002479CA">
              <w:rPr>
                <w:rFonts w:cs="Arial"/>
                <w:b/>
                <w:bCs/>
              </w:rPr>
              <w:t>September</w:t>
            </w:r>
          </w:p>
        </w:tc>
        <w:tc>
          <w:tcPr>
            <w:tcW w:w="1316" w:type="dxa"/>
            <w:tcBorders>
              <w:bottom w:val="nil"/>
            </w:tcBorders>
            <w:shd w:val="clear" w:color="auto" w:fill="B4C6E7" w:themeFill="accent5" w:themeFillTint="66"/>
            <w:noWrap/>
            <w:hideMark/>
          </w:tcPr>
          <w:p w14:paraId="7E0C1EBC" w14:textId="77777777" w:rsidR="00AB2F9C" w:rsidRPr="00212006" w:rsidRDefault="00AB2F9C" w:rsidP="00AB2F9C">
            <w:pPr>
              <w:spacing w:line="240" w:lineRule="auto"/>
              <w:jc w:val="center"/>
              <w:rPr>
                <w:rFonts w:cs="Arial"/>
                <w:b/>
                <w:bCs/>
              </w:rPr>
            </w:pPr>
          </w:p>
          <w:p w14:paraId="32041C04" w14:textId="44126C5F" w:rsidR="00AB2F9C" w:rsidRPr="00212006" w:rsidRDefault="00AB2F9C" w:rsidP="00FD005B">
            <w:pPr>
              <w:spacing w:line="240" w:lineRule="auto"/>
              <w:jc w:val="center"/>
              <w:rPr>
                <w:rFonts w:cs="Arial"/>
                <w:b/>
                <w:bCs/>
              </w:rPr>
            </w:pPr>
            <w:r w:rsidRPr="00212006">
              <w:rPr>
                <w:rFonts w:cs="Arial"/>
                <w:b/>
                <w:bCs/>
              </w:rPr>
              <w:t xml:space="preserve">Actual to </w:t>
            </w:r>
            <w:r w:rsidR="002479CA">
              <w:rPr>
                <w:rFonts w:cs="Arial"/>
                <w:b/>
                <w:bCs/>
              </w:rPr>
              <w:t>September</w:t>
            </w:r>
          </w:p>
        </w:tc>
        <w:tc>
          <w:tcPr>
            <w:tcW w:w="1319" w:type="dxa"/>
            <w:tcBorders>
              <w:bottom w:val="nil"/>
            </w:tcBorders>
            <w:shd w:val="clear" w:color="auto" w:fill="B4C6E7" w:themeFill="accent5" w:themeFillTint="66"/>
            <w:noWrap/>
            <w:hideMark/>
          </w:tcPr>
          <w:p w14:paraId="62B399E5" w14:textId="77777777" w:rsidR="00AB2F9C" w:rsidRPr="00212006" w:rsidRDefault="00AB2F9C" w:rsidP="00AB2F9C">
            <w:pPr>
              <w:spacing w:line="240" w:lineRule="auto"/>
              <w:jc w:val="center"/>
              <w:rPr>
                <w:rFonts w:cs="Arial"/>
                <w:b/>
                <w:bCs/>
              </w:rPr>
            </w:pPr>
          </w:p>
          <w:p w14:paraId="1F23DB3B" w14:textId="77777777" w:rsidR="00AB2F9C" w:rsidRPr="00212006" w:rsidRDefault="00AB2F9C" w:rsidP="00AB2F9C">
            <w:pPr>
              <w:spacing w:line="240" w:lineRule="auto"/>
              <w:jc w:val="center"/>
              <w:rPr>
                <w:rFonts w:cs="Arial"/>
                <w:b/>
                <w:bCs/>
              </w:rPr>
            </w:pPr>
            <w:r w:rsidRPr="00212006">
              <w:rPr>
                <w:rFonts w:cs="Arial"/>
                <w:b/>
                <w:bCs/>
              </w:rPr>
              <w:t>Variance</w:t>
            </w:r>
          </w:p>
          <w:p w14:paraId="3D9E35A2" w14:textId="77777777" w:rsidR="00AB2F9C" w:rsidRPr="00212006" w:rsidRDefault="00AB2F9C" w:rsidP="00AB2F9C">
            <w:pPr>
              <w:spacing w:line="240" w:lineRule="auto"/>
              <w:jc w:val="center"/>
              <w:rPr>
                <w:rFonts w:cs="Arial"/>
                <w:b/>
                <w:bCs/>
              </w:rPr>
            </w:pPr>
            <w:r w:rsidRPr="00212006">
              <w:rPr>
                <w:rFonts w:cs="Arial"/>
                <w:b/>
                <w:bCs/>
              </w:rPr>
              <w:t>Under/ (over)</w:t>
            </w:r>
          </w:p>
          <w:p w14:paraId="797C6176" w14:textId="77777777" w:rsidR="00AB2F9C" w:rsidRPr="00212006" w:rsidRDefault="00AB2F9C" w:rsidP="00AB2F9C">
            <w:pPr>
              <w:spacing w:line="240" w:lineRule="auto"/>
              <w:jc w:val="center"/>
              <w:rPr>
                <w:rFonts w:cs="Arial"/>
                <w:b/>
                <w:bCs/>
              </w:rPr>
            </w:pPr>
            <w:r w:rsidRPr="00212006">
              <w:rPr>
                <w:rFonts w:cs="Arial"/>
                <w:b/>
                <w:bCs/>
              </w:rPr>
              <w:t>spend</w:t>
            </w:r>
          </w:p>
        </w:tc>
        <w:tc>
          <w:tcPr>
            <w:tcW w:w="1134" w:type="dxa"/>
            <w:tcBorders>
              <w:bottom w:val="nil"/>
            </w:tcBorders>
            <w:shd w:val="clear" w:color="auto" w:fill="A6A6A6" w:themeFill="background1" w:themeFillShade="A6"/>
          </w:tcPr>
          <w:p w14:paraId="33B3F55D" w14:textId="77777777" w:rsidR="00AB2F9C" w:rsidRPr="00212006" w:rsidRDefault="00AB2F9C" w:rsidP="00AB2F9C">
            <w:pPr>
              <w:spacing w:line="240" w:lineRule="auto"/>
              <w:jc w:val="center"/>
              <w:rPr>
                <w:rFonts w:cs="Arial"/>
                <w:b/>
                <w:bCs/>
              </w:rPr>
            </w:pPr>
          </w:p>
          <w:p w14:paraId="19D8B041" w14:textId="77777777" w:rsidR="00AB2F9C" w:rsidRPr="00212006" w:rsidRDefault="00AB2F9C" w:rsidP="00AB2F9C">
            <w:pPr>
              <w:spacing w:line="240" w:lineRule="auto"/>
              <w:jc w:val="center"/>
              <w:rPr>
                <w:rFonts w:cs="Arial"/>
                <w:b/>
                <w:bCs/>
              </w:rPr>
            </w:pPr>
            <w:r w:rsidRPr="00212006">
              <w:rPr>
                <w:rFonts w:cs="Arial"/>
                <w:b/>
                <w:bCs/>
              </w:rPr>
              <w:t>Forecast outturn Variance</w:t>
            </w:r>
          </w:p>
        </w:tc>
      </w:tr>
      <w:tr w:rsidR="006366E3" w:rsidRPr="006366E3" w14:paraId="48CA0DFF" w14:textId="77777777" w:rsidTr="00B00E10">
        <w:trPr>
          <w:trHeight w:val="336"/>
        </w:trPr>
        <w:tc>
          <w:tcPr>
            <w:tcW w:w="3640" w:type="dxa"/>
            <w:tcBorders>
              <w:top w:val="nil"/>
            </w:tcBorders>
            <w:shd w:val="clear" w:color="auto" w:fill="B4C6E7" w:themeFill="accent5" w:themeFillTint="66"/>
            <w:noWrap/>
            <w:hideMark/>
          </w:tcPr>
          <w:p w14:paraId="5B322AFC" w14:textId="4296AA4A" w:rsidR="00AB2F9C" w:rsidRPr="00212006" w:rsidRDefault="00AA795C" w:rsidP="00AA795C">
            <w:pPr>
              <w:spacing w:line="240" w:lineRule="auto"/>
              <w:jc w:val="left"/>
              <w:rPr>
                <w:rFonts w:cs="Arial"/>
                <w:b/>
                <w:bCs/>
              </w:rPr>
            </w:pPr>
            <w:r w:rsidRPr="00AB2F9C">
              <w:rPr>
                <w:rFonts w:cs="Arial"/>
                <w:b/>
                <w:bCs/>
              </w:rPr>
              <w:t>Directorate</w:t>
            </w:r>
          </w:p>
        </w:tc>
        <w:tc>
          <w:tcPr>
            <w:tcW w:w="1316" w:type="dxa"/>
            <w:tcBorders>
              <w:top w:val="nil"/>
            </w:tcBorders>
            <w:shd w:val="clear" w:color="auto" w:fill="B4C6E7" w:themeFill="accent5" w:themeFillTint="66"/>
            <w:noWrap/>
            <w:hideMark/>
          </w:tcPr>
          <w:p w14:paraId="2EA7E95A" w14:textId="77777777" w:rsidR="00AB2F9C" w:rsidRPr="00212006" w:rsidRDefault="00AB2F9C" w:rsidP="00AB2F9C">
            <w:pPr>
              <w:spacing w:line="240" w:lineRule="auto"/>
              <w:jc w:val="center"/>
              <w:rPr>
                <w:rFonts w:cs="Arial"/>
                <w:b/>
                <w:bCs/>
              </w:rPr>
            </w:pPr>
            <w:r w:rsidRPr="00212006">
              <w:rPr>
                <w:rFonts w:cs="Arial"/>
                <w:b/>
                <w:bCs/>
              </w:rPr>
              <w:t>£000</w:t>
            </w:r>
          </w:p>
        </w:tc>
        <w:tc>
          <w:tcPr>
            <w:tcW w:w="1316" w:type="dxa"/>
            <w:tcBorders>
              <w:top w:val="nil"/>
            </w:tcBorders>
            <w:shd w:val="clear" w:color="auto" w:fill="B4C6E7" w:themeFill="accent5" w:themeFillTint="66"/>
            <w:noWrap/>
            <w:hideMark/>
          </w:tcPr>
          <w:p w14:paraId="7AAFF96F" w14:textId="77777777" w:rsidR="00AB2F9C" w:rsidRPr="00212006" w:rsidRDefault="00AB2F9C" w:rsidP="00AB2F9C">
            <w:pPr>
              <w:spacing w:line="240" w:lineRule="auto"/>
              <w:jc w:val="center"/>
              <w:rPr>
                <w:rFonts w:cs="Arial"/>
                <w:b/>
                <w:bCs/>
              </w:rPr>
            </w:pPr>
            <w:r w:rsidRPr="00212006">
              <w:rPr>
                <w:rFonts w:cs="Arial"/>
                <w:b/>
                <w:bCs/>
              </w:rPr>
              <w:t>£000</w:t>
            </w:r>
          </w:p>
        </w:tc>
        <w:tc>
          <w:tcPr>
            <w:tcW w:w="1316" w:type="dxa"/>
            <w:tcBorders>
              <w:top w:val="nil"/>
            </w:tcBorders>
            <w:shd w:val="clear" w:color="auto" w:fill="B4C6E7" w:themeFill="accent5" w:themeFillTint="66"/>
            <w:noWrap/>
            <w:hideMark/>
          </w:tcPr>
          <w:p w14:paraId="4C010C10" w14:textId="77777777" w:rsidR="00AB2F9C" w:rsidRPr="00212006" w:rsidRDefault="00AB2F9C" w:rsidP="00AB2F9C">
            <w:pPr>
              <w:spacing w:line="240" w:lineRule="auto"/>
              <w:jc w:val="center"/>
              <w:rPr>
                <w:rFonts w:cs="Arial"/>
                <w:b/>
                <w:bCs/>
              </w:rPr>
            </w:pPr>
            <w:r w:rsidRPr="00212006">
              <w:rPr>
                <w:rFonts w:cs="Arial"/>
                <w:b/>
                <w:bCs/>
              </w:rPr>
              <w:t>£000</w:t>
            </w:r>
          </w:p>
        </w:tc>
        <w:tc>
          <w:tcPr>
            <w:tcW w:w="1319" w:type="dxa"/>
            <w:tcBorders>
              <w:top w:val="nil"/>
            </w:tcBorders>
            <w:shd w:val="clear" w:color="auto" w:fill="B4C6E7" w:themeFill="accent5" w:themeFillTint="66"/>
            <w:noWrap/>
            <w:hideMark/>
          </w:tcPr>
          <w:p w14:paraId="5F389BA6" w14:textId="77777777" w:rsidR="00AB2F9C" w:rsidRPr="00212006" w:rsidRDefault="00AB2F9C" w:rsidP="00AB2F9C">
            <w:pPr>
              <w:spacing w:line="240" w:lineRule="auto"/>
              <w:jc w:val="center"/>
              <w:rPr>
                <w:rFonts w:cs="Arial"/>
                <w:b/>
                <w:bCs/>
              </w:rPr>
            </w:pPr>
            <w:r w:rsidRPr="00212006">
              <w:rPr>
                <w:rFonts w:cs="Arial"/>
                <w:b/>
                <w:bCs/>
              </w:rPr>
              <w:t>£000</w:t>
            </w:r>
          </w:p>
        </w:tc>
        <w:tc>
          <w:tcPr>
            <w:tcW w:w="1134" w:type="dxa"/>
            <w:tcBorders>
              <w:top w:val="nil"/>
            </w:tcBorders>
            <w:shd w:val="clear" w:color="auto" w:fill="A6A6A6" w:themeFill="background1" w:themeFillShade="A6"/>
          </w:tcPr>
          <w:p w14:paraId="19B82758" w14:textId="77777777" w:rsidR="00AB2F9C" w:rsidRPr="00212006" w:rsidRDefault="00AB2F9C" w:rsidP="00AB2F9C">
            <w:pPr>
              <w:spacing w:line="240" w:lineRule="auto"/>
              <w:jc w:val="center"/>
              <w:rPr>
                <w:rFonts w:cs="Arial"/>
                <w:b/>
                <w:bCs/>
              </w:rPr>
            </w:pPr>
            <w:r w:rsidRPr="00212006">
              <w:rPr>
                <w:rFonts w:cs="Arial"/>
                <w:b/>
                <w:bCs/>
              </w:rPr>
              <w:t>£000</w:t>
            </w:r>
          </w:p>
        </w:tc>
      </w:tr>
      <w:tr w:rsidR="00AB2F9C" w:rsidRPr="00AB2F9C" w14:paraId="4E400C25" w14:textId="77777777" w:rsidTr="00B00E10">
        <w:trPr>
          <w:trHeight w:val="315"/>
        </w:trPr>
        <w:tc>
          <w:tcPr>
            <w:tcW w:w="3640" w:type="dxa"/>
            <w:noWrap/>
            <w:vAlign w:val="bottom"/>
            <w:hideMark/>
          </w:tcPr>
          <w:p w14:paraId="72C2A754" w14:textId="7303F68F" w:rsidR="00AB2F9C" w:rsidRPr="00857C38" w:rsidRDefault="00AB2F9C" w:rsidP="00AB2F9C">
            <w:pPr>
              <w:spacing w:line="240" w:lineRule="auto"/>
              <w:jc w:val="left"/>
              <w:rPr>
                <w:rFonts w:cs="Arial"/>
                <w:b/>
              </w:rPr>
            </w:pPr>
          </w:p>
        </w:tc>
        <w:tc>
          <w:tcPr>
            <w:tcW w:w="1316" w:type="dxa"/>
            <w:noWrap/>
            <w:vAlign w:val="bottom"/>
          </w:tcPr>
          <w:p w14:paraId="309A477D" w14:textId="7C1BDAE0" w:rsidR="00AB2F9C" w:rsidRPr="00AB2F9C" w:rsidRDefault="00AB2F9C" w:rsidP="00AB2F9C">
            <w:pPr>
              <w:spacing w:line="240" w:lineRule="auto"/>
              <w:jc w:val="right"/>
              <w:rPr>
                <w:rFonts w:cs="Arial"/>
              </w:rPr>
            </w:pPr>
          </w:p>
        </w:tc>
        <w:tc>
          <w:tcPr>
            <w:tcW w:w="1316" w:type="dxa"/>
            <w:noWrap/>
            <w:vAlign w:val="bottom"/>
          </w:tcPr>
          <w:p w14:paraId="29B5578F" w14:textId="39FB6343" w:rsidR="00AB2F9C" w:rsidRPr="00AB2F9C" w:rsidRDefault="00AB2F9C" w:rsidP="00821652">
            <w:pPr>
              <w:spacing w:line="240" w:lineRule="auto"/>
              <w:jc w:val="right"/>
              <w:rPr>
                <w:rFonts w:cs="Arial"/>
              </w:rPr>
            </w:pPr>
          </w:p>
        </w:tc>
        <w:tc>
          <w:tcPr>
            <w:tcW w:w="1316" w:type="dxa"/>
            <w:noWrap/>
            <w:vAlign w:val="bottom"/>
          </w:tcPr>
          <w:p w14:paraId="2CECD7ED" w14:textId="3F0B9261" w:rsidR="00AB2F9C" w:rsidRPr="00AB2F9C" w:rsidRDefault="00AB2F9C" w:rsidP="00AB2F9C">
            <w:pPr>
              <w:spacing w:line="240" w:lineRule="auto"/>
              <w:jc w:val="right"/>
              <w:rPr>
                <w:rFonts w:cs="Arial"/>
              </w:rPr>
            </w:pPr>
          </w:p>
        </w:tc>
        <w:tc>
          <w:tcPr>
            <w:tcW w:w="1319" w:type="dxa"/>
            <w:noWrap/>
            <w:vAlign w:val="bottom"/>
          </w:tcPr>
          <w:p w14:paraId="152463CF" w14:textId="41C50989" w:rsidR="00AB2F9C" w:rsidRPr="00AB2F9C" w:rsidRDefault="00AB2F9C" w:rsidP="00821652">
            <w:pPr>
              <w:spacing w:line="240" w:lineRule="auto"/>
              <w:jc w:val="right"/>
              <w:rPr>
                <w:rFonts w:cs="Arial"/>
              </w:rPr>
            </w:pPr>
          </w:p>
        </w:tc>
        <w:tc>
          <w:tcPr>
            <w:tcW w:w="1134" w:type="dxa"/>
            <w:shd w:val="clear" w:color="auto" w:fill="D9D9D9" w:themeFill="background1" w:themeFillShade="D9"/>
            <w:vAlign w:val="bottom"/>
          </w:tcPr>
          <w:p w14:paraId="3015C555" w14:textId="77777777" w:rsidR="00AB2F9C" w:rsidRPr="00AB2F9C" w:rsidRDefault="00AB2F9C" w:rsidP="00AB2F9C">
            <w:pPr>
              <w:spacing w:line="240" w:lineRule="auto"/>
              <w:jc w:val="right"/>
              <w:rPr>
                <w:rFonts w:cs="Arial"/>
              </w:rPr>
            </w:pPr>
          </w:p>
        </w:tc>
      </w:tr>
      <w:tr w:rsidR="00AA795C" w:rsidRPr="00AB2F9C" w14:paraId="603A417C" w14:textId="77777777" w:rsidTr="00B00E10">
        <w:trPr>
          <w:trHeight w:val="315"/>
        </w:trPr>
        <w:tc>
          <w:tcPr>
            <w:tcW w:w="3640" w:type="dxa"/>
            <w:noWrap/>
            <w:vAlign w:val="bottom"/>
          </w:tcPr>
          <w:p w14:paraId="37C06ABE" w14:textId="1B470F72" w:rsidR="00AA795C" w:rsidRPr="00857C38" w:rsidRDefault="00DA2370" w:rsidP="00DA2370">
            <w:pPr>
              <w:spacing w:line="240" w:lineRule="auto"/>
              <w:jc w:val="left"/>
              <w:rPr>
                <w:rFonts w:cs="Arial"/>
                <w:b/>
              </w:rPr>
            </w:pPr>
            <w:r w:rsidRPr="00857C38">
              <w:rPr>
                <w:rFonts w:cs="Arial"/>
                <w:b/>
              </w:rPr>
              <w:t>Chief Executive</w:t>
            </w:r>
            <w:r w:rsidRPr="005B4F2A">
              <w:rPr>
                <w:rFonts w:cs="Arial"/>
                <w:b/>
              </w:rPr>
              <w:t xml:space="preserve"> </w:t>
            </w:r>
          </w:p>
        </w:tc>
        <w:tc>
          <w:tcPr>
            <w:tcW w:w="1316" w:type="dxa"/>
            <w:noWrap/>
            <w:vAlign w:val="bottom"/>
          </w:tcPr>
          <w:p w14:paraId="6BCBDDED" w14:textId="77D53927" w:rsidR="00AA795C" w:rsidRPr="00AA795C" w:rsidRDefault="00AA795C" w:rsidP="000E373A">
            <w:pPr>
              <w:spacing w:line="240" w:lineRule="auto"/>
              <w:jc w:val="right"/>
              <w:rPr>
                <w:rFonts w:cs="Arial"/>
                <w:b/>
              </w:rPr>
            </w:pPr>
            <w:r w:rsidRPr="00AA795C">
              <w:rPr>
                <w:rFonts w:cs="Arial"/>
                <w:b/>
              </w:rPr>
              <w:t>2,</w:t>
            </w:r>
            <w:r w:rsidR="000E373A">
              <w:rPr>
                <w:rFonts w:cs="Arial"/>
                <w:b/>
              </w:rPr>
              <w:t>768</w:t>
            </w:r>
          </w:p>
        </w:tc>
        <w:tc>
          <w:tcPr>
            <w:tcW w:w="1316" w:type="dxa"/>
            <w:noWrap/>
            <w:vAlign w:val="bottom"/>
          </w:tcPr>
          <w:p w14:paraId="070DC450" w14:textId="05D8EF2B" w:rsidR="00AA795C" w:rsidRPr="000E373A" w:rsidRDefault="00AA795C" w:rsidP="00194D9C">
            <w:pPr>
              <w:spacing w:line="240" w:lineRule="auto"/>
              <w:jc w:val="right"/>
              <w:rPr>
                <w:rFonts w:cs="Arial"/>
                <w:b/>
              </w:rPr>
            </w:pPr>
            <w:r w:rsidRPr="000E373A">
              <w:rPr>
                <w:rFonts w:cs="Arial"/>
                <w:b/>
              </w:rPr>
              <w:t>1,</w:t>
            </w:r>
            <w:r w:rsidR="00194D9C">
              <w:rPr>
                <w:rFonts w:cs="Arial"/>
                <w:b/>
              </w:rPr>
              <w:t>950</w:t>
            </w:r>
          </w:p>
        </w:tc>
        <w:tc>
          <w:tcPr>
            <w:tcW w:w="1316" w:type="dxa"/>
            <w:noWrap/>
            <w:vAlign w:val="bottom"/>
          </w:tcPr>
          <w:p w14:paraId="3630E43D" w14:textId="0B1DBD03" w:rsidR="00AA795C" w:rsidRPr="000E373A" w:rsidRDefault="00AA795C" w:rsidP="00194D9C">
            <w:pPr>
              <w:spacing w:line="240" w:lineRule="auto"/>
              <w:jc w:val="right"/>
              <w:rPr>
                <w:rFonts w:cs="Arial"/>
                <w:b/>
              </w:rPr>
            </w:pPr>
            <w:r w:rsidRPr="000E373A">
              <w:rPr>
                <w:rFonts w:cs="Arial"/>
                <w:b/>
              </w:rPr>
              <w:t>1,</w:t>
            </w:r>
            <w:r w:rsidR="00194D9C">
              <w:rPr>
                <w:rFonts w:cs="Arial"/>
                <w:b/>
              </w:rPr>
              <w:t>930</w:t>
            </w:r>
          </w:p>
        </w:tc>
        <w:tc>
          <w:tcPr>
            <w:tcW w:w="1319" w:type="dxa"/>
            <w:noWrap/>
            <w:vAlign w:val="bottom"/>
          </w:tcPr>
          <w:p w14:paraId="0CB0D453" w14:textId="785B0A60" w:rsidR="00AA795C" w:rsidRPr="000E373A" w:rsidRDefault="00194D9C" w:rsidP="00194D9C">
            <w:pPr>
              <w:spacing w:line="240" w:lineRule="auto"/>
              <w:jc w:val="right"/>
              <w:rPr>
                <w:rFonts w:cs="Arial"/>
                <w:b/>
              </w:rPr>
            </w:pPr>
            <w:r>
              <w:rPr>
                <w:rFonts w:cs="Arial"/>
                <w:b/>
              </w:rPr>
              <w:t>20</w:t>
            </w:r>
          </w:p>
        </w:tc>
        <w:tc>
          <w:tcPr>
            <w:tcW w:w="1134" w:type="dxa"/>
            <w:shd w:val="clear" w:color="auto" w:fill="D9D9D9" w:themeFill="background1" w:themeFillShade="D9"/>
            <w:vAlign w:val="bottom"/>
          </w:tcPr>
          <w:p w14:paraId="76CE37A9" w14:textId="03FA8E49" w:rsidR="00AA795C" w:rsidRPr="00FD005B" w:rsidRDefault="00AA795C" w:rsidP="00AA795C">
            <w:pPr>
              <w:spacing w:line="240" w:lineRule="auto"/>
              <w:jc w:val="right"/>
              <w:rPr>
                <w:rFonts w:cs="Arial"/>
                <w:color w:val="FF0000"/>
              </w:rPr>
            </w:pPr>
          </w:p>
        </w:tc>
      </w:tr>
      <w:tr w:rsidR="00AA795C" w:rsidRPr="00AB2F9C" w14:paraId="173C2EDA" w14:textId="77777777" w:rsidTr="00B00E10">
        <w:trPr>
          <w:trHeight w:val="315"/>
        </w:trPr>
        <w:tc>
          <w:tcPr>
            <w:tcW w:w="3640" w:type="dxa"/>
            <w:noWrap/>
            <w:vAlign w:val="bottom"/>
          </w:tcPr>
          <w:p w14:paraId="7A6A2C4C" w14:textId="77777777" w:rsidR="00AA795C" w:rsidRPr="005B4F2A" w:rsidRDefault="00AA795C" w:rsidP="00AA795C">
            <w:pPr>
              <w:spacing w:line="240" w:lineRule="auto"/>
              <w:ind w:left="720"/>
              <w:jc w:val="left"/>
              <w:rPr>
                <w:rFonts w:cs="Arial"/>
                <w:b/>
              </w:rPr>
            </w:pPr>
          </w:p>
        </w:tc>
        <w:tc>
          <w:tcPr>
            <w:tcW w:w="1316" w:type="dxa"/>
            <w:noWrap/>
            <w:vAlign w:val="bottom"/>
          </w:tcPr>
          <w:p w14:paraId="56325578" w14:textId="77777777" w:rsidR="00AA795C" w:rsidRPr="00AB2F9C" w:rsidRDefault="00AA795C" w:rsidP="00AA795C">
            <w:pPr>
              <w:spacing w:line="240" w:lineRule="auto"/>
              <w:jc w:val="right"/>
              <w:rPr>
                <w:rFonts w:cs="Arial"/>
              </w:rPr>
            </w:pPr>
          </w:p>
        </w:tc>
        <w:tc>
          <w:tcPr>
            <w:tcW w:w="1316" w:type="dxa"/>
            <w:noWrap/>
            <w:vAlign w:val="bottom"/>
          </w:tcPr>
          <w:p w14:paraId="6405D228" w14:textId="77777777" w:rsidR="00AA795C" w:rsidRPr="00FD005B" w:rsidRDefault="00AA795C" w:rsidP="00AA795C">
            <w:pPr>
              <w:spacing w:line="240" w:lineRule="auto"/>
              <w:jc w:val="right"/>
              <w:rPr>
                <w:rFonts w:cs="Arial"/>
                <w:color w:val="FF0000"/>
              </w:rPr>
            </w:pPr>
          </w:p>
        </w:tc>
        <w:tc>
          <w:tcPr>
            <w:tcW w:w="1316" w:type="dxa"/>
            <w:noWrap/>
            <w:vAlign w:val="bottom"/>
          </w:tcPr>
          <w:p w14:paraId="4E5C2225" w14:textId="77777777" w:rsidR="00AA795C" w:rsidRPr="00FD005B" w:rsidRDefault="00AA795C" w:rsidP="00AA795C">
            <w:pPr>
              <w:spacing w:line="240" w:lineRule="auto"/>
              <w:jc w:val="right"/>
              <w:rPr>
                <w:rFonts w:cs="Arial"/>
                <w:color w:val="FF0000"/>
              </w:rPr>
            </w:pPr>
          </w:p>
        </w:tc>
        <w:tc>
          <w:tcPr>
            <w:tcW w:w="1319" w:type="dxa"/>
            <w:noWrap/>
            <w:vAlign w:val="bottom"/>
          </w:tcPr>
          <w:p w14:paraId="3F96C892" w14:textId="77777777" w:rsidR="00AA795C" w:rsidRPr="00FD005B" w:rsidRDefault="00AA795C" w:rsidP="00AA795C">
            <w:pPr>
              <w:spacing w:line="240" w:lineRule="auto"/>
              <w:jc w:val="right"/>
              <w:rPr>
                <w:rFonts w:cs="Arial"/>
                <w:color w:val="FF0000"/>
              </w:rPr>
            </w:pPr>
          </w:p>
        </w:tc>
        <w:tc>
          <w:tcPr>
            <w:tcW w:w="1134" w:type="dxa"/>
            <w:shd w:val="clear" w:color="auto" w:fill="D9D9D9" w:themeFill="background1" w:themeFillShade="D9"/>
            <w:vAlign w:val="bottom"/>
          </w:tcPr>
          <w:p w14:paraId="16996ECB" w14:textId="77777777" w:rsidR="00AA795C" w:rsidRPr="00FD005B" w:rsidRDefault="00AA795C" w:rsidP="00AA795C">
            <w:pPr>
              <w:spacing w:line="240" w:lineRule="auto"/>
              <w:jc w:val="right"/>
              <w:rPr>
                <w:rFonts w:cs="Arial"/>
                <w:color w:val="FF0000"/>
              </w:rPr>
            </w:pPr>
          </w:p>
        </w:tc>
      </w:tr>
      <w:tr w:rsidR="00AA795C" w:rsidRPr="00AB2F9C" w14:paraId="7EECA3CB" w14:textId="77777777" w:rsidTr="00B00E10">
        <w:trPr>
          <w:trHeight w:val="315"/>
        </w:trPr>
        <w:tc>
          <w:tcPr>
            <w:tcW w:w="3640" w:type="dxa"/>
            <w:noWrap/>
            <w:vAlign w:val="bottom"/>
            <w:hideMark/>
          </w:tcPr>
          <w:p w14:paraId="0A1EBF1C" w14:textId="77777777" w:rsidR="00AA795C" w:rsidRPr="00857C38" w:rsidRDefault="00AA795C" w:rsidP="00AA795C">
            <w:pPr>
              <w:spacing w:line="240" w:lineRule="auto"/>
              <w:jc w:val="left"/>
              <w:rPr>
                <w:rFonts w:cs="Arial"/>
                <w:b/>
              </w:rPr>
            </w:pPr>
            <w:r w:rsidRPr="00857C38">
              <w:rPr>
                <w:rFonts w:cs="Arial"/>
                <w:b/>
              </w:rPr>
              <w:t>Development Enterprise &amp; Community</w:t>
            </w:r>
          </w:p>
        </w:tc>
        <w:tc>
          <w:tcPr>
            <w:tcW w:w="1316" w:type="dxa"/>
            <w:noWrap/>
            <w:vAlign w:val="bottom"/>
          </w:tcPr>
          <w:p w14:paraId="58965C94" w14:textId="10283A18" w:rsidR="00AA795C" w:rsidRPr="00AA795C" w:rsidRDefault="00DA2370" w:rsidP="00AA795C">
            <w:pPr>
              <w:spacing w:line="240" w:lineRule="auto"/>
              <w:jc w:val="right"/>
              <w:rPr>
                <w:rFonts w:cs="Arial"/>
                <w:b/>
              </w:rPr>
            </w:pPr>
            <w:r>
              <w:rPr>
                <w:rFonts w:cs="Arial"/>
                <w:b/>
              </w:rPr>
              <w:t>2,472</w:t>
            </w:r>
          </w:p>
        </w:tc>
        <w:tc>
          <w:tcPr>
            <w:tcW w:w="1316" w:type="dxa"/>
            <w:noWrap/>
            <w:vAlign w:val="bottom"/>
          </w:tcPr>
          <w:p w14:paraId="1B6A7794" w14:textId="2272ABDF" w:rsidR="00AA795C" w:rsidRPr="00DA2370" w:rsidRDefault="00DA2370" w:rsidP="00194D9C">
            <w:pPr>
              <w:spacing w:line="240" w:lineRule="auto"/>
              <w:jc w:val="right"/>
              <w:rPr>
                <w:rFonts w:cs="Arial"/>
                <w:b/>
              </w:rPr>
            </w:pPr>
            <w:r w:rsidRPr="00DA2370">
              <w:rPr>
                <w:rFonts w:cs="Arial"/>
                <w:b/>
              </w:rPr>
              <w:t>1,</w:t>
            </w:r>
            <w:r w:rsidR="00194D9C">
              <w:rPr>
                <w:rFonts w:cs="Arial"/>
                <w:b/>
              </w:rPr>
              <w:t>243</w:t>
            </w:r>
          </w:p>
        </w:tc>
        <w:tc>
          <w:tcPr>
            <w:tcW w:w="1316" w:type="dxa"/>
            <w:noWrap/>
            <w:vAlign w:val="bottom"/>
          </w:tcPr>
          <w:p w14:paraId="5E7A2C20" w14:textId="37E5013C" w:rsidR="00AA795C" w:rsidRPr="00DA2370" w:rsidRDefault="00DA2370" w:rsidP="00194D9C">
            <w:pPr>
              <w:spacing w:line="240" w:lineRule="auto"/>
              <w:jc w:val="right"/>
              <w:rPr>
                <w:rFonts w:cs="Arial"/>
                <w:b/>
              </w:rPr>
            </w:pPr>
            <w:r w:rsidRPr="00DA2370">
              <w:rPr>
                <w:rFonts w:cs="Arial"/>
                <w:b/>
              </w:rPr>
              <w:t>1,</w:t>
            </w:r>
            <w:r w:rsidR="00194D9C">
              <w:rPr>
                <w:rFonts w:cs="Arial"/>
                <w:b/>
              </w:rPr>
              <w:t>114</w:t>
            </w:r>
          </w:p>
        </w:tc>
        <w:tc>
          <w:tcPr>
            <w:tcW w:w="1319" w:type="dxa"/>
            <w:noWrap/>
            <w:vAlign w:val="bottom"/>
          </w:tcPr>
          <w:p w14:paraId="0FFBACC8" w14:textId="717B05C7" w:rsidR="00AA795C" w:rsidRPr="00DA2370" w:rsidRDefault="00DA2370" w:rsidP="00194D9C">
            <w:pPr>
              <w:spacing w:line="240" w:lineRule="auto"/>
              <w:jc w:val="right"/>
              <w:rPr>
                <w:rFonts w:cs="Arial"/>
                <w:b/>
              </w:rPr>
            </w:pPr>
            <w:r w:rsidRPr="00DA2370">
              <w:rPr>
                <w:rFonts w:cs="Arial"/>
                <w:b/>
              </w:rPr>
              <w:t>1</w:t>
            </w:r>
            <w:r w:rsidR="00194D9C">
              <w:rPr>
                <w:rFonts w:cs="Arial"/>
                <w:b/>
              </w:rPr>
              <w:t>29</w:t>
            </w:r>
          </w:p>
        </w:tc>
        <w:tc>
          <w:tcPr>
            <w:tcW w:w="1134" w:type="dxa"/>
            <w:shd w:val="clear" w:color="auto" w:fill="D9D9D9" w:themeFill="background1" w:themeFillShade="D9"/>
            <w:vAlign w:val="bottom"/>
          </w:tcPr>
          <w:p w14:paraId="45203060" w14:textId="15A20A1A" w:rsidR="00AA795C" w:rsidRPr="00FD005B" w:rsidRDefault="00AA795C" w:rsidP="00AA795C">
            <w:pPr>
              <w:spacing w:line="240" w:lineRule="auto"/>
              <w:jc w:val="right"/>
              <w:rPr>
                <w:rFonts w:cs="Arial"/>
                <w:b/>
                <w:color w:val="FF0000"/>
              </w:rPr>
            </w:pPr>
          </w:p>
        </w:tc>
      </w:tr>
      <w:tr w:rsidR="00BB2BA4" w:rsidRPr="00AB2F9C" w14:paraId="03C670E8" w14:textId="77777777" w:rsidTr="00B00E10">
        <w:trPr>
          <w:trHeight w:val="315"/>
        </w:trPr>
        <w:tc>
          <w:tcPr>
            <w:tcW w:w="3640" w:type="dxa"/>
            <w:noWrap/>
            <w:vAlign w:val="bottom"/>
          </w:tcPr>
          <w:p w14:paraId="285BCB95" w14:textId="77777777" w:rsidR="00BB2BA4" w:rsidRPr="00857C38" w:rsidRDefault="00BB2BA4" w:rsidP="00BB2BA4">
            <w:pPr>
              <w:spacing w:line="240" w:lineRule="auto"/>
              <w:jc w:val="left"/>
              <w:rPr>
                <w:rFonts w:cs="Arial"/>
                <w:b/>
              </w:rPr>
            </w:pPr>
          </w:p>
        </w:tc>
        <w:tc>
          <w:tcPr>
            <w:tcW w:w="1316" w:type="dxa"/>
            <w:noWrap/>
            <w:vAlign w:val="bottom"/>
          </w:tcPr>
          <w:p w14:paraId="649DE985" w14:textId="77777777" w:rsidR="00BB2BA4" w:rsidRPr="00AA795C" w:rsidRDefault="00BB2BA4" w:rsidP="00BB2BA4">
            <w:pPr>
              <w:spacing w:line="240" w:lineRule="auto"/>
              <w:jc w:val="right"/>
              <w:rPr>
                <w:rFonts w:cs="Arial"/>
                <w:b/>
              </w:rPr>
            </w:pPr>
          </w:p>
        </w:tc>
        <w:tc>
          <w:tcPr>
            <w:tcW w:w="1316" w:type="dxa"/>
            <w:noWrap/>
            <w:vAlign w:val="bottom"/>
          </w:tcPr>
          <w:p w14:paraId="19147DB8" w14:textId="77777777" w:rsidR="00BB2BA4" w:rsidRPr="00FD005B" w:rsidRDefault="00BB2BA4" w:rsidP="00BB2BA4">
            <w:pPr>
              <w:spacing w:line="240" w:lineRule="auto"/>
              <w:jc w:val="right"/>
              <w:rPr>
                <w:rFonts w:cs="Arial"/>
                <w:b/>
                <w:color w:val="FF0000"/>
              </w:rPr>
            </w:pPr>
          </w:p>
        </w:tc>
        <w:tc>
          <w:tcPr>
            <w:tcW w:w="1316" w:type="dxa"/>
            <w:noWrap/>
            <w:vAlign w:val="bottom"/>
          </w:tcPr>
          <w:p w14:paraId="4227AC9F" w14:textId="77777777" w:rsidR="00BB2BA4" w:rsidRPr="00FD005B" w:rsidRDefault="00BB2BA4" w:rsidP="00BB2BA4">
            <w:pPr>
              <w:spacing w:line="240" w:lineRule="auto"/>
              <w:jc w:val="right"/>
              <w:rPr>
                <w:rFonts w:cs="Arial"/>
                <w:b/>
                <w:color w:val="FF0000"/>
              </w:rPr>
            </w:pPr>
          </w:p>
        </w:tc>
        <w:tc>
          <w:tcPr>
            <w:tcW w:w="1319" w:type="dxa"/>
            <w:noWrap/>
            <w:vAlign w:val="bottom"/>
          </w:tcPr>
          <w:p w14:paraId="0716331F" w14:textId="77777777" w:rsidR="00BB2BA4" w:rsidRPr="00FD005B" w:rsidRDefault="00BB2BA4" w:rsidP="00BB2BA4">
            <w:pPr>
              <w:spacing w:line="240" w:lineRule="auto"/>
              <w:jc w:val="right"/>
              <w:rPr>
                <w:rFonts w:cs="Arial"/>
                <w:b/>
                <w:color w:val="FF0000"/>
              </w:rPr>
            </w:pPr>
          </w:p>
        </w:tc>
        <w:tc>
          <w:tcPr>
            <w:tcW w:w="1134" w:type="dxa"/>
            <w:shd w:val="clear" w:color="auto" w:fill="D9D9D9" w:themeFill="background1" w:themeFillShade="D9"/>
            <w:vAlign w:val="bottom"/>
          </w:tcPr>
          <w:p w14:paraId="79B3DA31" w14:textId="77777777" w:rsidR="00BB2BA4" w:rsidRPr="00FD005B" w:rsidRDefault="00BB2BA4" w:rsidP="00BB2BA4">
            <w:pPr>
              <w:spacing w:line="240" w:lineRule="auto"/>
              <w:jc w:val="right"/>
              <w:rPr>
                <w:rFonts w:cs="Arial"/>
                <w:b/>
                <w:color w:val="FF0000"/>
              </w:rPr>
            </w:pPr>
          </w:p>
        </w:tc>
      </w:tr>
      <w:tr w:rsidR="00BB2BA4" w:rsidRPr="00AB2F9C" w14:paraId="5B43B279" w14:textId="77777777" w:rsidTr="00B00E10">
        <w:trPr>
          <w:trHeight w:val="315"/>
        </w:trPr>
        <w:tc>
          <w:tcPr>
            <w:tcW w:w="3640" w:type="dxa"/>
            <w:noWrap/>
            <w:vAlign w:val="bottom"/>
            <w:hideMark/>
          </w:tcPr>
          <w:p w14:paraId="5754A98A" w14:textId="77777777" w:rsidR="00BB2BA4" w:rsidRPr="00857C38" w:rsidRDefault="00BB2BA4" w:rsidP="00BB2BA4">
            <w:pPr>
              <w:spacing w:line="240" w:lineRule="auto"/>
              <w:jc w:val="left"/>
              <w:rPr>
                <w:rFonts w:cs="Arial"/>
                <w:b/>
              </w:rPr>
            </w:pPr>
            <w:r w:rsidRPr="00857C38">
              <w:rPr>
                <w:rFonts w:cs="Arial"/>
                <w:b/>
              </w:rPr>
              <w:t>Governance &amp; Business Transformation</w:t>
            </w:r>
          </w:p>
        </w:tc>
        <w:tc>
          <w:tcPr>
            <w:tcW w:w="1316" w:type="dxa"/>
            <w:noWrap/>
            <w:vAlign w:val="bottom"/>
          </w:tcPr>
          <w:p w14:paraId="65F90AA4" w14:textId="58215CE8" w:rsidR="00BB2BA4" w:rsidRPr="00AA795C" w:rsidRDefault="00204EA0" w:rsidP="00194D9C">
            <w:pPr>
              <w:spacing w:line="240" w:lineRule="auto"/>
              <w:jc w:val="right"/>
              <w:rPr>
                <w:rFonts w:cs="Arial"/>
                <w:b/>
              </w:rPr>
            </w:pPr>
            <w:r>
              <w:rPr>
                <w:rFonts w:cs="Arial"/>
                <w:b/>
              </w:rPr>
              <w:t>3,20</w:t>
            </w:r>
            <w:r w:rsidR="00194D9C">
              <w:rPr>
                <w:rFonts w:cs="Arial"/>
                <w:b/>
              </w:rPr>
              <w:t>7</w:t>
            </w:r>
          </w:p>
        </w:tc>
        <w:tc>
          <w:tcPr>
            <w:tcW w:w="1316" w:type="dxa"/>
            <w:noWrap/>
            <w:vAlign w:val="bottom"/>
          </w:tcPr>
          <w:p w14:paraId="1E1A2AEB" w14:textId="41FF257D" w:rsidR="00BB2BA4" w:rsidRPr="00204EA0" w:rsidRDefault="00204EA0" w:rsidP="00194D9C">
            <w:pPr>
              <w:spacing w:line="240" w:lineRule="auto"/>
              <w:jc w:val="right"/>
              <w:rPr>
                <w:rFonts w:cs="Arial"/>
                <w:b/>
              </w:rPr>
            </w:pPr>
            <w:r w:rsidRPr="00204EA0">
              <w:rPr>
                <w:rFonts w:cs="Arial"/>
                <w:b/>
              </w:rPr>
              <w:t>1,</w:t>
            </w:r>
            <w:r w:rsidR="00194D9C">
              <w:rPr>
                <w:rFonts w:cs="Arial"/>
                <w:b/>
              </w:rPr>
              <w:t>749</w:t>
            </w:r>
          </w:p>
        </w:tc>
        <w:tc>
          <w:tcPr>
            <w:tcW w:w="1316" w:type="dxa"/>
            <w:noWrap/>
            <w:vAlign w:val="bottom"/>
          </w:tcPr>
          <w:p w14:paraId="6CED3E14" w14:textId="522BCFE4" w:rsidR="00BB2BA4" w:rsidRPr="00204EA0" w:rsidRDefault="00204EA0" w:rsidP="00194D9C">
            <w:pPr>
              <w:spacing w:line="240" w:lineRule="auto"/>
              <w:jc w:val="right"/>
              <w:rPr>
                <w:rFonts w:cs="Arial"/>
                <w:b/>
              </w:rPr>
            </w:pPr>
            <w:r w:rsidRPr="00204EA0">
              <w:rPr>
                <w:rFonts w:cs="Arial"/>
                <w:b/>
              </w:rPr>
              <w:t>1,</w:t>
            </w:r>
            <w:r w:rsidR="00194D9C">
              <w:rPr>
                <w:rFonts w:cs="Arial"/>
                <w:b/>
              </w:rPr>
              <w:t>705</w:t>
            </w:r>
          </w:p>
        </w:tc>
        <w:tc>
          <w:tcPr>
            <w:tcW w:w="1319" w:type="dxa"/>
            <w:noWrap/>
            <w:vAlign w:val="bottom"/>
          </w:tcPr>
          <w:p w14:paraId="647374C2" w14:textId="148C0D2D" w:rsidR="00BB2BA4" w:rsidRPr="00204EA0" w:rsidRDefault="00194D9C" w:rsidP="00194D9C">
            <w:pPr>
              <w:spacing w:line="240" w:lineRule="auto"/>
              <w:jc w:val="right"/>
              <w:rPr>
                <w:rFonts w:cs="Arial"/>
                <w:b/>
              </w:rPr>
            </w:pPr>
            <w:r>
              <w:rPr>
                <w:rFonts w:cs="Arial"/>
                <w:b/>
              </w:rPr>
              <w:t>44</w:t>
            </w:r>
          </w:p>
        </w:tc>
        <w:tc>
          <w:tcPr>
            <w:tcW w:w="1134" w:type="dxa"/>
            <w:shd w:val="clear" w:color="auto" w:fill="D9D9D9" w:themeFill="background1" w:themeFillShade="D9"/>
            <w:vAlign w:val="bottom"/>
          </w:tcPr>
          <w:p w14:paraId="3C531B1B" w14:textId="77777777" w:rsidR="00BB2BA4" w:rsidRPr="00FD005B" w:rsidRDefault="00BB2BA4" w:rsidP="00BB2BA4">
            <w:pPr>
              <w:spacing w:line="240" w:lineRule="auto"/>
              <w:jc w:val="right"/>
              <w:rPr>
                <w:rFonts w:cs="Arial"/>
                <w:color w:val="FF0000"/>
              </w:rPr>
            </w:pPr>
          </w:p>
        </w:tc>
      </w:tr>
      <w:tr w:rsidR="00204EA0" w:rsidRPr="00AB2F9C" w14:paraId="606C5D05" w14:textId="77777777" w:rsidTr="00B00E10">
        <w:trPr>
          <w:trHeight w:val="315"/>
        </w:trPr>
        <w:tc>
          <w:tcPr>
            <w:tcW w:w="3640" w:type="dxa"/>
            <w:noWrap/>
            <w:vAlign w:val="bottom"/>
          </w:tcPr>
          <w:p w14:paraId="01638D8A" w14:textId="77777777" w:rsidR="00204EA0" w:rsidRPr="00857C38" w:rsidRDefault="00204EA0" w:rsidP="00BB2BA4">
            <w:pPr>
              <w:spacing w:line="240" w:lineRule="auto"/>
              <w:jc w:val="left"/>
              <w:rPr>
                <w:rFonts w:cs="Arial"/>
                <w:b/>
              </w:rPr>
            </w:pPr>
          </w:p>
        </w:tc>
        <w:tc>
          <w:tcPr>
            <w:tcW w:w="1316" w:type="dxa"/>
            <w:noWrap/>
            <w:vAlign w:val="bottom"/>
          </w:tcPr>
          <w:p w14:paraId="63398554" w14:textId="77777777" w:rsidR="00204EA0" w:rsidRPr="00AA795C" w:rsidRDefault="00204EA0" w:rsidP="00BB2BA4">
            <w:pPr>
              <w:spacing w:line="240" w:lineRule="auto"/>
              <w:jc w:val="right"/>
              <w:rPr>
                <w:rFonts w:cs="Arial"/>
                <w:b/>
              </w:rPr>
            </w:pPr>
          </w:p>
        </w:tc>
        <w:tc>
          <w:tcPr>
            <w:tcW w:w="1316" w:type="dxa"/>
            <w:noWrap/>
            <w:vAlign w:val="bottom"/>
          </w:tcPr>
          <w:p w14:paraId="30BCC913" w14:textId="77777777" w:rsidR="00204EA0" w:rsidRPr="00FD005B" w:rsidRDefault="00204EA0" w:rsidP="00BB2BA4">
            <w:pPr>
              <w:spacing w:line="240" w:lineRule="auto"/>
              <w:jc w:val="right"/>
              <w:rPr>
                <w:rFonts w:cs="Arial"/>
                <w:b/>
                <w:color w:val="FF0000"/>
              </w:rPr>
            </w:pPr>
          </w:p>
        </w:tc>
        <w:tc>
          <w:tcPr>
            <w:tcW w:w="1316" w:type="dxa"/>
            <w:noWrap/>
            <w:vAlign w:val="bottom"/>
          </w:tcPr>
          <w:p w14:paraId="557AAFDF" w14:textId="77777777" w:rsidR="00204EA0" w:rsidRPr="00FD005B" w:rsidRDefault="00204EA0" w:rsidP="00BB2BA4">
            <w:pPr>
              <w:spacing w:line="240" w:lineRule="auto"/>
              <w:jc w:val="right"/>
              <w:rPr>
                <w:rFonts w:cs="Arial"/>
                <w:b/>
                <w:color w:val="FF0000"/>
              </w:rPr>
            </w:pPr>
          </w:p>
        </w:tc>
        <w:tc>
          <w:tcPr>
            <w:tcW w:w="1319" w:type="dxa"/>
            <w:noWrap/>
            <w:vAlign w:val="bottom"/>
          </w:tcPr>
          <w:p w14:paraId="5EB9F346" w14:textId="77777777" w:rsidR="00204EA0" w:rsidRPr="00FD005B" w:rsidRDefault="00204EA0" w:rsidP="00BB2BA4">
            <w:pPr>
              <w:spacing w:line="240" w:lineRule="auto"/>
              <w:jc w:val="right"/>
              <w:rPr>
                <w:rFonts w:cs="Arial"/>
                <w:b/>
                <w:color w:val="FF0000"/>
              </w:rPr>
            </w:pPr>
          </w:p>
        </w:tc>
        <w:tc>
          <w:tcPr>
            <w:tcW w:w="1134" w:type="dxa"/>
            <w:shd w:val="clear" w:color="auto" w:fill="D9D9D9" w:themeFill="background1" w:themeFillShade="D9"/>
            <w:vAlign w:val="bottom"/>
          </w:tcPr>
          <w:p w14:paraId="1EB6A889" w14:textId="77777777" w:rsidR="00204EA0" w:rsidRPr="00FD005B" w:rsidRDefault="00204EA0" w:rsidP="00BB2BA4">
            <w:pPr>
              <w:spacing w:line="240" w:lineRule="auto"/>
              <w:jc w:val="right"/>
              <w:rPr>
                <w:rFonts w:cs="Arial"/>
                <w:color w:val="FF0000"/>
              </w:rPr>
            </w:pPr>
          </w:p>
        </w:tc>
      </w:tr>
      <w:tr w:rsidR="00063C58" w:rsidRPr="00AB2F9C" w14:paraId="61E79EAF" w14:textId="77777777" w:rsidTr="00B00E10">
        <w:trPr>
          <w:trHeight w:val="315"/>
        </w:trPr>
        <w:tc>
          <w:tcPr>
            <w:tcW w:w="3640" w:type="dxa"/>
            <w:tcBorders>
              <w:bottom w:val="single" w:sz="4" w:space="0" w:color="auto"/>
            </w:tcBorders>
            <w:noWrap/>
            <w:vAlign w:val="bottom"/>
            <w:hideMark/>
          </w:tcPr>
          <w:p w14:paraId="4F22B9BA" w14:textId="77777777" w:rsidR="00063C58" w:rsidRPr="00857C38" w:rsidRDefault="00063C58" w:rsidP="00063C58">
            <w:pPr>
              <w:spacing w:line="240" w:lineRule="auto"/>
              <w:jc w:val="left"/>
              <w:rPr>
                <w:rFonts w:cs="Arial"/>
                <w:b/>
              </w:rPr>
            </w:pPr>
            <w:r w:rsidRPr="00857C38">
              <w:rPr>
                <w:rFonts w:cs="Arial"/>
                <w:b/>
              </w:rPr>
              <w:t>Neighbourhood, Environment &amp; Asset Management</w:t>
            </w:r>
          </w:p>
        </w:tc>
        <w:tc>
          <w:tcPr>
            <w:tcW w:w="1316" w:type="dxa"/>
            <w:tcBorders>
              <w:bottom w:val="single" w:sz="4" w:space="0" w:color="auto"/>
            </w:tcBorders>
            <w:noWrap/>
            <w:vAlign w:val="bottom"/>
          </w:tcPr>
          <w:p w14:paraId="023BF262" w14:textId="429CA68F" w:rsidR="00063C58" w:rsidRPr="00AB2F9C" w:rsidRDefault="00063C58" w:rsidP="00063C58">
            <w:pPr>
              <w:spacing w:line="240" w:lineRule="auto"/>
              <w:jc w:val="right"/>
              <w:rPr>
                <w:rFonts w:cs="Arial"/>
              </w:rPr>
            </w:pPr>
          </w:p>
        </w:tc>
        <w:tc>
          <w:tcPr>
            <w:tcW w:w="1316" w:type="dxa"/>
            <w:tcBorders>
              <w:bottom w:val="single" w:sz="4" w:space="0" w:color="auto"/>
            </w:tcBorders>
            <w:noWrap/>
            <w:vAlign w:val="bottom"/>
          </w:tcPr>
          <w:p w14:paraId="50CE5CF6" w14:textId="0245961E" w:rsidR="00063C58" w:rsidRPr="00AB2F9C" w:rsidRDefault="00063C58" w:rsidP="00063C58">
            <w:pPr>
              <w:spacing w:line="240" w:lineRule="auto"/>
              <w:jc w:val="right"/>
              <w:rPr>
                <w:rFonts w:cs="Arial"/>
              </w:rPr>
            </w:pPr>
          </w:p>
        </w:tc>
        <w:tc>
          <w:tcPr>
            <w:tcW w:w="1316" w:type="dxa"/>
            <w:tcBorders>
              <w:bottom w:val="single" w:sz="4" w:space="0" w:color="auto"/>
            </w:tcBorders>
            <w:noWrap/>
            <w:vAlign w:val="bottom"/>
          </w:tcPr>
          <w:p w14:paraId="17D12E87" w14:textId="69BFE874" w:rsidR="00063C58" w:rsidRPr="00AB2F9C" w:rsidRDefault="00063C58" w:rsidP="00063C58">
            <w:pPr>
              <w:spacing w:line="240" w:lineRule="auto"/>
              <w:jc w:val="right"/>
              <w:rPr>
                <w:rFonts w:cs="Arial"/>
              </w:rPr>
            </w:pPr>
          </w:p>
        </w:tc>
        <w:tc>
          <w:tcPr>
            <w:tcW w:w="1319" w:type="dxa"/>
            <w:tcBorders>
              <w:bottom w:val="single" w:sz="4" w:space="0" w:color="auto"/>
            </w:tcBorders>
            <w:noWrap/>
            <w:vAlign w:val="bottom"/>
          </w:tcPr>
          <w:p w14:paraId="4EF29D66" w14:textId="5A78DCEA" w:rsidR="00063C58" w:rsidRPr="00AB2F9C" w:rsidRDefault="00063C58" w:rsidP="00063C58">
            <w:pPr>
              <w:spacing w:line="240" w:lineRule="auto"/>
              <w:jc w:val="right"/>
              <w:rPr>
                <w:rFonts w:cs="Arial"/>
              </w:rPr>
            </w:pPr>
          </w:p>
        </w:tc>
        <w:tc>
          <w:tcPr>
            <w:tcW w:w="1134" w:type="dxa"/>
            <w:shd w:val="clear" w:color="auto" w:fill="D9D9D9" w:themeFill="background1" w:themeFillShade="D9"/>
            <w:vAlign w:val="bottom"/>
          </w:tcPr>
          <w:p w14:paraId="4C8D4046" w14:textId="77777777" w:rsidR="00063C58" w:rsidRPr="00AB2F9C" w:rsidRDefault="00063C58" w:rsidP="00063C58">
            <w:pPr>
              <w:spacing w:line="240" w:lineRule="auto"/>
              <w:jc w:val="right"/>
              <w:rPr>
                <w:rFonts w:cs="Arial"/>
              </w:rPr>
            </w:pPr>
          </w:p>
        </w:tc>
      </w:tr>
      <w:tr w:rsidR="00063C58" w:rsidRPr="00AB2F9C" w14:paraId="102DC075" w14:textId="77777777" w:rsidTr="00B00E10">
        <w:trPr>
          <w:trHeight w:val="315"/>
        </w:trPr>
        <w:tc>
          <w:tcPr>
            <w:tcW w:w="3640" w:type="dxa"/>
            <w:shd w:val="clear" w:color="auto" w:fill="auto"/>
            <w:noWrap/>
            <w:vAlign w:val="bottom"/>
          </w:tcPr>
          <w:p w14:paraId="0DBF96F0" w14:textId="04944766" w:rsidR="00063C58" w:rsidRPr="00617C5B" w:rsidRDefault="00063C58" w:rsidP="00465972">
            <w:pPr>
              <w:spacing w:line="240" w:lineRule="auto"/>
              <w:ind w:left="720"/>
              <w:jc w:val="left"/>
              <w:rPr>
                <w:rFonts w:cs="Arial"/>
                <w:i/>
              </w:rPr>
            </w:pPr>
            <w:r w:rsidRPr="00617C5B">
              <w:rPr>
                <w:rFonts w:cs="Arial"/>
                <w:i/>
              </w:rPr>
              <w:t xml:space="preserve">Investment Property </w:t>
            </w:r>
          </w:p>
        </w:tc>
        <w:tc>
          <w:tcPr>
            <w:tcW w:w="1316" w:type="dxa"/>
            <w:shd w:val="clear" w:color="auto" w:fill="auto"/>
            <w:noWrap/>
            <w:vAlign w:val="bottom"/>
          </w:tcPr>
          <w:p w14:paraId="0A0E363B" w14:textId="61B6FFE6" w:rsidR="00063C58" w:rsidRPr="00617C5B" w:rsidRDefault="00063C58" w:rsidP="00465972">
            <w:pPr>
              <w:spacing w:line="240" w:lineRule="auto"/>
              <w:jc w:val="right"/>
              <w:rPr>
                <w:rFonts w:cs="Arial"/>
                <w:i/>
              </w:rPr>
            </w:pPr>
            <w:r w:rsidRPr="00617C5B">
              <w:rPr>
                <w:rFonts w:cs="Arial"/>
                <w:i/>
              </w:rPr>
              <w:t>(</w:t>
            </w:r>
            <w:r w:rsidR="00465972" w:rsidRPr="00617C5B">
              <w:rPr>
                <w:rFonts w:cs="Arial"/>
                <w:i/>
              </w:rPr>
              <w:t>818</w:t>
            </w:r>
            <w:r w:rsidRPr="00617C5B">
              <w:rPr>
                <w:rFonts w:cs="Arial"/>
                <w:i/>
              </w:rPr>
              <w:t>)</w:t>
            </w:r>
          </w:p>
        </w:tc>
        <w:tc>
          <w:tcPr>
            <w:tcW w:w="1316" w:type="dxa"/>
            <w:shd w:val="clear" w:color="auto" w:fill="auto"/>
            <w:noWrap/>
            <w:vAlign w:val="bottom"/>
          </w:tcPr>
          <w:p w14:paraId="5E431C05" w14:textId="5E79580B" w:rsidR="00063C58" w:rsidRPr="00617C5B" w:rsidRDefault="00063C58" w:rsidP="00194D9C">
            <w:pPr>
              <w:spacing w:line="240" w:lineRule="auto"/>
              <w:jc w:val="right"/>
              <w:rPr>
                <w:rFonts w:cs="Arial"/>
                <w:i/>
              </w:rPr>
            </w:pPr>
            <w:r w:rsidRPr="00617C5B">
              <w:rPr>
                <w:rFonts w:cs="Arial"/>
                <w:i/>
              </w:rPr>
              <w:t>(</w:t>
            </w:r>
            <w:r w:rsidR="00465972" w:rsidRPr="00617C5B">
              <w:rPr>
                <w:rFonts w:cs="Arial"/>
                <w:i/>
              </w:rPr>
              <w:t>7</w:t>
            </w:r>
            <w:r w:rsidR="00194D9C">
              <w:rPr>
                <w:rFonts w:cs="Arial"/>
                <w:i/>
              </w:rPr>
              <w:t>22</w:t>
            </w:r>
            <w:r w:rsidRPr="00617C5B">
              <w:rPr>
                <w:rFonts w:cs="Arial"/>
                <w:i/>
              </w:rPr>
              <w:t>)</w:t>
            </w:r>
          </w:p>
        </w:tc>
        <w:tc>
          <w:tcPr>
            <w:tcW w:w="1316" w:type="dxa"/>
            <w:shd w:val="clear" w:color="auto" w:fill="auto"/>
            <w:noWrap/>
            <w:vAlign w:val="bottom"/>
          </w:tcPr>
          <w:p w14:paraId="4F96DA8F" w14:textId="23A8AEBF" w:rsidR="00063C58" w:rsidRPr="00617C5B" w:rsidRDefault="00063C58" w:rsidP="00194D9C">
            <w:pPr>
              <w:spacing w:line="240" w:lineRule="auto"/>
              <w:jc w:val="right"/>
              <w:rPr>
                <w:rFonts w:cs="Arial"/>
                <w:i/>
              </w:rPr>
            </w:pPr>
            <w:r w:rsidRPr="00617C5B">
              <w:rPr>
                <w:rFonts w:cs="Arial"/>
                <w:i/>
              </w:rPr>
              <w:t>(</w:t>
            </w:r>
            <w:r w:rsidR="00465972" w:rsidRPr="00617C5B">
              <w:rPr>
                <w:rFonts w:cs="Arial"/>
                <w:i/>
              </w:rPr>
              <w:t>7</w:t>
            </w:r>
            <w:r w:rsidR="00194D9C">
              <w:rPr>
                <w:rFonts w:cs="Arial"/>
                <w:i/>
              </w:rPr>
              <w:t>51</w:t>
            </w:r>
            <w:r w:rsidRPr="00617C5B">
              <w:rPr>
                <w:rFonts w:cs="Arial"/>
                <w:i/>
              </w:rPr>
              <w:t>)</w:t>
            </w:r>
          </w:p>
        </w:tc>
        <w:tc>
          <w:tcPr>
            <w:tcW w:w="1319" w:type="dxa"/>
            <w:shd w:val="clear" w:color="auto" w:fill="auto"/>
            <w:noWrap/>
            <w:vAlign w:val="bottom"/>
          </w:tcPr>
          <w:p w14:paraId="694B8B9E" w14:textId="759C8AF3" w:rsidR="00063C58" w:rsidRPr="00617C5B" w:rsidRDefault="00465972" w:rsidP="00194D9C">
            <w:pPr>
              <w:spacing w:line="240" w:lineRule="auto"/>
              <w:jc w:val="right"/>
              <w:rPr>
                <w:rFonts w:cs="Arial"/>
                <w:i/>
              </w:rPr>
            </w:pPr>
            <w:r w:rsidRPr="00617C5B">
              <w:rPr>
                <w:rFonts w:cs="Arial"/>
                <w:i/>
              </w:rPr>
              <w:t>2</w:t>
            </w:r>
            <w:r w:rsidR="00194D9C">
              <w:rPr>
                <w:rFonts w:cs="Arial"/>
                <w:i/>
              </w:rPr>
              <w:t>9</w:t>
            </w:r>
          </w:p>
        </w:tc>
        <w:tc>
          <w:tcPr>
            <w:tcW w:w="1134" w:type="dxa"/>
            <w:shd w:val="clear" w:color="auto" w:fill="D9D9D9" w:themeFill="background1" w:themeFillShade="D9"/>
            <w:vAlign w:val="bottom"/>
          </w:tcPr>
          <w:p w14:paraId="12382D47" w14:textId="77777777" w:rsidR="00063C58" w:rsidRPr="00FD005B" w:rsidRDefault="00063C58" w:rsidP="00063C58">
            <w:pPr>
              <w:spacing w:line="240" w:lineRule="auto"/>
              <w:jc w:val="right"/>
              <w:rPr>
                <w:rFonts w:cs="Arial"/>
                <w:color w:val="FF0000"/>
              </w:rPr>
            </w:pPr>
          </w:p>
        </w:tc>
      </w:tr>
      <w:tr w:rsidR="00465972" w:rsidRPr="00AB2F9C" w14:paraId="5DE5404E" w14:textId="77777777" w:rsidTr="00B00E10">
        <w:trPr>
          <w:trHeight w:val="315"/>
        </w:trPr>
        <w:tc>
          <w:tcPr>
            <w:tcW w:w="3640" w:type="dxa"/>
            <w:shd w:val="clear" w:color="auto" w:fill="auto"/>
            <w:noWrap/>
            <w:vAlign w:val="bottom"/>
          </w:tcPr>
          <w:p w14:paraId="63B6C2A4" w14:textId="1F3DB9EA" w:rsidR="00465972" w:rsidRPr="00617C5B" w:rsidRDefault="00465972" w:rsidP="00465972">
            <w:pPr>
              <w:spacing w:line="240" w:lineRule="auto"/>
              <w:ind w:left="720"/>
              <w:jc w:val="left"/>
              <w:rPr>
                <w:rFonts w:cs="Arial"/>
                <w:i/>
              </w:rPr>
            </w:pPr>
            <w:r w:rsidRPr="00617C5B">
              <w:rPr>
                <w:rFonts w:cs="Arial"/>
                <w:i/>
              </w:rPr>
              <w:t>Other services</w:t>
            </w:r>
          </w:p>
        </w:tc>
        <w:tc>
          <w:tcPr>
            <w:tcW w:w="1316" w:type="dxa"/>
            <w:tcBorders>
              <w:top w:val="single" w:sz="4" w:space="0" w:color="auto"/>
            </w:tcBorders>
            <w:shd w:val="clear" w:color="auto" w:fill="auto"/>
            <w:noWrap/>
            <w:vAlign w:val="bottom"/>
          </w:tcPr>
          <w:p w14:paraId="755605D6" w14:textId="117DE4A0" w:rsidR="00465972" w:rsidRPr="00617C5B" w:rsidRDefault="00465972" w:rsidP="00465972">
            <w:pPr>
              <w:spacing w:line="240" w:lineRule="auto"/>
              <w:jc w:val="right"/>
              <w:rPr>
                <w:rFonts w:cs="Arial"/>
                <w:i/>
              </w:rPr>
            </w:pPr>
            <w:r w:rsidRPr="00617C5B">
              <w:rPr>
                <w:rFonts w:cs="Arial"/>
                <w:i/>
              </w:rPr>
              <w:t>4,708</w:t>
            </w:r>
          </w:p>
        </w:tc>
        <w:tc>
          <w:tcPr>
            <w:tcW w:w="1316" w:type="dxa"/>
            <w:tcBorders>
              <w:top w:val="single" w:sz="4" w:space="0" w:color="auto"/>
            </w:tcBorders>
            <w:shd w:val="clear" w:color="auto" w:fill="auto"/>
            <w:noWrap/>
            <w:vAlign w:val="bottom"/>
          </w:tcPr>
          <w:p w14:paraId="002AD10A" w14:textId="1DB4D1F1" w:rsidR="00465972" w:rsidRPr="00617C5B" w:rsidRDefault="00194D9C" w:rsidP="00194D9C">
            <w:pPr>
              <w:spacing w:line="240" w:lineRule="auto"/>
              <w:jc w:val="right"/>
              <w:rPr>
                <w:rFonts w:cs="Arial"/>
                <w:i/>
              </w:rPr>
            </w:pPr>
            <w:r>
              <w:rPr>
                <w:rFonts w:cs="Arial"/>
                <w:i/>
              </w:rPr>
              <w:t>2</w:t>
            </w:r>
            <w:r w:rsidR="00465972" w:rsidRPr="00617C5B">
              <w:rPr>
                <w:rFonts w:cs="Arial"/>
                <w:i/>
              </w:rPr>
              <w:t>,</w:t>
            </w:r>
            <w:r>
              <w:rPr>
                <w:rFonts w:cs="Arial"/>
                <w:i/>
              </w:rPr>
              <w:t>171</w:t>
            </w:r>
          </w:p>
        </w:tc>
        <w:tc>
          <w:tcPr>
            <w:tcW w:w="1316" w:type="dxa"/>
            <w:tcBorders>
              <w:top w:val="single" w:sz="4" w:space="0" w:color="auto"/>
            </w:tcBorders>
            <w:shd w:val="clear" w:color="auto" w:fill="auto"/>
            <w:noWrap/>
            <w:vAlign w:val="bottom"/>
          </w:tcPr>
          <w:p w14:paraId="05A22E80" w14:textId="27B6853B" w:rsidR="00465972" w:rsidRPr="00617C5B" w:rsidRDefault="00194D9C" w:rsidP="00194D9C">
            <w:pPr>
              <w:spacing w:line="240" w:lineRule="auto"/>
              <w:jc w:val="right"/>
              <w:rPr>
                <w:rFonts w:cs="Arial"/>
                <w:i/>
              </w:rPr>
            </w:pPr>
            <w:r>
              <w:rPr>
                <w:rFonts w:cs="Arial"/>
                <w:i/>
              </w:rPr>
              <w:t>2,232</w:t>
            </w:r>
          </w:p>
        </w:tc>
        <w:tc>
          <w:tcPr>
            <w:tcW w:w="1319" w:type="dxa"/>
            <w:tcBorders>
              <w:top w:val="single" w:sz="4" w:space="0" w:color="auto"/>
            </w:tcBorders>
            <w:shd w:val="clear" w:color="auto" w:fill="auto"/>
            <w:noWrap/>
            <w:vAlign w:val="bottom"/>
          </w:tcPr>
          <w:p w14:paraId="39DE8B04" w14:textId="40DA0CE3" w:rsidR="00465972" w:rsidRPr="00617C5B" w:rsidRDefault="00465972" w:rsidP="00194D9C">
            <w:pPr>
              <w:spacing w:line="240" w:lineRule="auto"/>
              <w:jc w:val="right"/>
              <w:rPr>
                <w:rFonts w:cs="Arial"/>
                <w:i/>
              </w:rPr>
            </w:pPr>
            <w:r w:rsidRPr="00617C5B">
              <w:rPr>
                <w:rFonts w:cs="Arial"/>
                <w:i/>
              </w:rPr>
              <w:t>(</w:t>
            </w:r>
            <w:r w:rsidR="00194D9C">
              <w:rPr>
                <w:rFonts w:cs="Arial"/>
                <w:i/>
              </w:rPr>
              <w:t>61</w:t>
            </w:r>
            <w:r w:rsidRPr="00617C5B">
              <w:rPr>
                <w:rFonts w:cs="Arial"/>
                <w:i/>
              </w:rPr>
              <w:t>)</w:t>
            </w:r>
          </w:p>
        </w:tc>
        <w:tc>
          <w:tcPr>
            <w:tcW w:w="1134" w:type="dxa"/>
            <w:shd w:val="clear" w:color="auto" w:fill="D9D9D9" w:themeFill="background1" w:themeFillShade="D9"/>
            <w:vAlign w:val="bottom"/>
          </w:tcPr>
          <w:p w14:paraId="2987E83D" w14:textId="77777777" w:rsidR="00465972" w:rsidRPr="00FD005B" w:rsidRDefault="00465972" w:rsidP="00465972">
            <w:pPr>
              <w:spacing w:line="240" w:lineRule="auto"/>
              <w:jc w:val="right"/>
              <w:rPr>
                <w:rFonts w:cs="Arial"/>
                <w:color w:val="FF0000"/>
              </w:rPr>
            </w:pPr>
          </w:p>
        </w:tc>
      </w:tr>
      <w:tr w:rsidR="00465972" w:rsidRPr="00AB2F9C" w14:paraId="276319D4" w14:textId="77777777" w:rsidTr="00B00E10">
        <w:trPr>
          <w:trHeight w:val="315"/>
        </w:trPr>
        <w:tc>
          <w:tcPr>
            <w:tcW w:w="3640" w:type="dxa"/>
            <w:noWrap/>
            <w:vAlign w:val="bottom"/>
          </w:tcPr>
          <w:p w14:paraId="55598DB3" w14:textId="78B22C21" w:rsidR="00465972" w:rsidRPr="005B4F2A" w:rsidRDefault="00617C5B" w:rsidP="00465972">
            <w:pPr>
              <w:spacing w:line="240" w:lineRule="auto"/>
              <w:ind w:left="720"/>
              <w:jc w:val="left"/>
              <w:rPr>
                <w:rFonts w:cs="Arial"/>
                <w:b/>
              </w:rPr>
            </w:pPr>
            <w:r>
              <w:rPr>
                <w:rFonts w:cs="Arial"/>
                <w:b/>
              </w:rPr>
              <w:t>Total</w:t>
            </w:r>
          </w:p>
        </w:tc>
        <w:tc>
          <w:tcPr>
            <w:tcW w:w="1316" w:type="dxa"/>
            <w:tcBorders>
              <w:top w:val="single" w:sz="4" w:space="0" w:color="auto"/>
            </w:tcBorders>
            <w:noWrap/>
            <w:vAlign w:val="bottom"/>
          </w:tcPr>
          <w:p w14:paraId="679DECD5" w14:textId="6653D876" w:rsidR="00465972" w:rsidRPr="00617C5B" w:rsidRDefault="00617C5B" w:rsidP="00465972">
            <w:pPr>
              <w:spacing w:line="240" w:lineRule="auto"/>
              <w:jc w:val="right"/>
              <w:rPr>
                <w:rFonts w:cs="Arial"/>
                <w:b/>
              </w:rPr>
            </w:pPr>
            <w:r w:rsidRPr="00617C5B">
              <w:rPr>
                <w:rFonts w:cs="Arial"/>
                <w:b/>
              </w:rPr>
              <w:t>3,890</w:t>
            </w:r>
          </w:p>
        </w:tc>
        <w:tc>
          <w:tcPr>
            <w:tcW w:w="1316" w:type="dxa"/>
            <w:tcBorders>
              <w:top w:val="single" w:sz="4" w:space="0" w:color="auto"/>
            </w:tcBorders>
            <w:noWrap/>
            <w:vAlign w:val="bottom"/>
          </w:tcPr>
          <w:p w14:paraId="30939B4B" w14:textId="52D4FBAD" w:rsidR="00465972" w:rsidRPr="00617C5B" w:rsidRDefault="00617C5B" w:rsidP="00194D9C">
            <w:pPr>
              <w:spacing w:line="240" w:lineRule="auto"/>
              <w:jc w:val="right"/>
              <w:rPr>
                <w:rFonts w:cs="Arial"/>
                <w:b/>
              </w:rPr>
            </w:pPr>
            <w:r w:rsidRPr="00617C5B">
              <w:rPr>
                <w:rFonts w:cs="Arial"/>
                <w:b/>
              </w:rPr>
              <w:t>1,</w:t>
            </w:r>
            <w:r w:rsidR="00194D9C">
              <w:rPr>
                <w:rFonts w:cs="Arial"/>
                <w:b/>
              </w:rPr>
              <w:t>449</w:t>
            </w:r>
          </w:p>
        </w:tc>
        <w:tc>
          <w:tcPr>
            <w:tcW w:w="1316" w:type="dxa"/>
            <w:tcBorders>
              <w:top w:val="single" w:sz="4" w:space="0" w:color="auto"/>
            </w:tcBorders>
            <w:noWrap/>
            <w:vAlign w:val="bottom"/>
          </w:tcPr>
          <w:p w14:paraId="29B96603" w14:textId="05982197" w:rsidR="00465972" w:rsidRPr="00617C5B" w:rsidRDefault="00617C5B" w:rsidP="00194D9C">
            <w:pPr>
              <w:spacing w:line="240" w:lineRule="auto"/>
              <w:jc w:val="right"/>
              <w:rPr>
                <w:rFonts w:cs="Arial"/>
                <w:b/>
              </w:rPr>
            </w:pPr>
            <w:r w:rsidRPr="00617C5B">
              <w:rPr>
                <w:rFonts w:cs="Arial"/>
                <w:b/>
              </w:rPr>
              <w:t>1,</w:t>
            </w:r>
            <w:r w:rsidR="00194D9C">
              <w:rPr>
                <w:rFonts w:cs="Arial"/>
                <w:b/>
              </w:rPr>
              <w:t>481</w:t>
            </w:r>
          </w:p>
        </w:tc>
        <w:tc>
          <w:tcPr>
            <w:tcW w:w="1319" w:type="dxa"/>
            <w:tcBorders>
              <w:top w:val="single" w:sz="4" w:space="0" w:color="auto"/>
            </w:tcBorders>
            <w:noWrap/>
            <w:vAlign w:val="bottom"/>
          </w:tcPr>
          <w:p w14:paraId="488B4BCB" w14:textId="7332617B" w:rsidR="00465972" w:rsidRPr="00617C5B" w:rsidRDefault="00617C5B" w:rsidP="00194D9C">
            <w:pPr>
              <w:spacing w:line="240" w:lineRule="auto"/>
              <w:jc w:val="right"/>
              <w:rPr>
                <w:rFonts w:cs="Arial"/>
                <w:b/>
              </w:rPr>
            </w:pPr>
            <w:r w:rsidRPr="00617C5B">
              <w:rPr>
                <w:rFonts w:cs="Arial"/>
                <w:b/>
              </w:rPr>
              <w:t>(</w:t>
            </w:r>
            <w:r w:rsidR="00194D9C">
              <w:rPr>
                <w:rFonts w:cs="Arial"/>
                <w:b/>
              </w:rPr>
              <w:t>32</w:t>
            </w:r>
            <w:r w:rsidRPr="00617C5B">
              <w:rPr>
                <w:rFonts w:cs="Arial"/>
                <w:b/>
              </w:rPr>
              <w:t>)</w:t>
            </w:r>
          </w:p>
        </w:tc>
        <w:tc>
          <w:tcPr>
            <w:tcW w:w="1134" w:type="dxa"/>
            <w:shd w:val="clear" w:color="auto" w:fill="D9D9D9" w:themeFill="background1" w:themeFillShade="D9"/>
            <w:vAlign w:val="bottom"/>
          </w:tcPr>
          <w:p w14:paraId="22E78842" w14:textId="77777777" w:rsidR="00465972" w:rsidRPr="00FD005B" w:rsidRDefault="00465972" w:rsidP="00465972">
            <w:pPr>
              <w:spacing w:line="240" w:lineRule="auto"/>
              <w:jc w:val="right"/>
              <w:rPr>
                <w:rFonts w:cs="Arial"/>
                <w:color w:val="FF0000"/>
              </w:rPr>
            </w:pPr>
          </w:p>
        </w:tc>
      </w:tr>
      <w:tr w:rsidR="00465972" w:rsidRPr="00AB2F9C" w14:paraId="4BD49532" w14:textId="77777777" w:rsidTr="00F81330">
        <w:trPr>
          <w:trHeight w:val="430"/>
        </w:trPr>
        <w:tc>
          <w:tcPr>
            <w:tcW w:w="3640" w:type="dxa"/>
            <w:noWrap/>
            <w:vAlign w:val="bottom"/>
            <w:hideMark/>
          </w:tcPr>
          <w:p w14:paraId="463CFCCE" w14:textId="77777777" w:rsidR="00465972" w:rsidRPr="00AB2F9C" w:rsidRDefault="00465972" w:rsidP="00465972">
            <w:pPr>
              <w:spacing w:line="240" w:lineRule="auto"/>
              <w:jc w:val="left"/>
              <w:rPr>
                <w:rFonts w:cs="Arial"/>
                <w:b/>
                <w:bCs/>
              </w:rPr>
            </w:pPr>
            <w:r w:rsidRPr="00AB2F9C">
              <w:rPr>
                <w:rFonts w:cs="Arial"/>
                <w:b/>
                <w:bCs/>
              </w:rPr>
              <w:t>Budgets Not In Directorates:</w:t>
            </w:r>
          </w:p>
        </w:tc>
        <w:tc>
          <w:tcPr>
            <w:tcW w:w="1316" w:type="dxa"/>
            <w:noWrap/>
            <w:vAlign w:val="bottom"/>
          </w:tcPr>
          <w:p w14:paraId="2CBB3C6F" w14:textId="77777777" w:rsidR="00465972" w:rsidRPr="00AB2F9C" w:rsidRDefault="00465972" w:rsidP="00465972">
            <w:pPr>
              <w:spacing w:line="240" w:lineRule="auto"/>
              <w:jc w:val="right"/>
              <w:rPr>
                <w:rFonts w:cs="Arial"/>
              </w:rPr>
            </w:pPr>
          </w:p>
        </w:tc>
        <w:tc>
          <w:tcPr>
            <w:tcW w:w="1316" w:type="dxa"/>
            <w:noWrap/>
            <w:vAlign w:val="bottom"/>
          </w:tcPr>
          <w:p w14:paraId="260A40BF" w14:textId="77777777" w:rsidR="00465972" w:rsidRPr="00FD005B" w:rsidRDefault="00465972" w:rsidP="00465972">
            <w:pPr>
              <w:spacing w:line="240" w:lineRule="auto"/>
              <w:jc w:val="right"/>
              <w:rPr>
                <w:rFonts w:cs="Arial"/>
                <w:color w:val="FF0000"/>
              </w:rPr>
            </w:pPr>
          </w:p>
        </w:tc>
        <w:tc>
          <w:tcPr>
            <w:tcW w:w="1316" w:type="dxa"/>
            <w:noWrap/>
            <w:vAlign w:val="bottom"/>
          </w:tcPr>
          <w:p w14:paraId="7262B1BB" w14:textId="77777777" w:rsidR="00465972" w:rsidRPr="00FD005B" w:rsidRDefault="00465972" w:rsidP="00465972">
            <w:pPr>
              <w:spacing w:line="240" w:lineRule="auto"/>
              <w:jc w:val="right"/>
              <w:rPr>
                <w:rFonts w:cs="Arial"/>
                <w:color w:val="FF0000"/>
              </w:rPr>
            </w:pPr>
          </w:p>
        </w:tc>
        <w:tc>
          <w:tcPr>
            <w:tcW w:w="1319" w:type="dxa"/>
            <w:noWrap/>
            <w:vAlign w:val="bottom"/>
          </w:tcPr>
          <w:p w14:paraId="4F4944AD" w14:textId="77777777" w:rsidR="00465972" w:rsidRPr="00FD005B" w:rsidRDefault="00465972" w:rsidP="00465972">
            <w:pPr>
              <w:spacing w:line="240" w:lineRule="auto"/>
              <w:jc w:val="right"/>
              <w:rPr>
                <w:rFonts w:cs="Arial"/>
                <w:color w:val="FF0000"/>
              </w:rPr>
            </w:pPr>
          </w:p>
        </w:tc>
        <w:tc>
          <w:tcPr>
            <w:tcW w:w="1134" w:type="dxa"/>
            <w:shd w:val="clear" w:color="auto" w:fill="D9D9D9" w:themeFill="background1" w:themeFillShade="D9"/>
            <w:vAlign w:val="bottom"/>
          </w:tcPr>
          <w:p w14:paraId="48DC707F" w14:textId="77777777" w:rsidR="00465972" w:rsidRPr="00FD005B" w:rsidRDefault="00465972" w:rsidP="00465972">
            <w:pPr>
              <w:spacing w:line="240" w:lineRule="auto"/>
              <w:jc w:val="right"/>
              <w:rPr>
                <w:rFonts w:cs="Arial"/>
                <w:color w:val="FF0000"/>
              </w:rPr>
            </w:pPr>
          </w:p>
        </w:tc>
      </w:tr>
      <w:tr w:rsidR="00465972" w:rsidRPr="00AB2F9C" w14:paraId="2A9B2C64" w14:textId="77777777" w:rsidTr="00B00E10">
        <w:trPr>
          <w:trHeight w:val="315"/>
        </w:trPr>
        <w:tc>
          <w:tcPr>
            <w:tcW w:w="3640" w:type="dxa"/>
            <w:noWrap/>
            <w:vAlign w:val="bottom"/>
            <w:hideMark/>
          </w:tcPr>
          <w:p w14:paraId="356C8FEF" w14:textId="7830F912" w:rsidR="00465972" w:rsidRPr="00AB2F9C" w:rsidRDefault="00465972" w:rsidP="00465972">
            <w:pPr>
              <w:spacing w:line="240" w:lineRule="auto"/>
              <w:jc w:val="left"/>
              <w:rPr>
                <w:rFonts w:cs="Arial"/>
              </w:rPr>
            </w:pPr>
            <w:r w:rsidRPr="00AB2F9C">
              <w:rPr>
                <w:rFonts w:cs="Arial"/>
              </w:rPr>
              <w:t xml:space="preserve">Pensions </w:t>
            </w:r>
            <w:r>
              <w:rPr>
                <w:rFonts w:cs="Arial"/>
              </w:rPr>
              <w:t>contributions</w:t>
            </w:r>
          </w:p>
        </w:tc>
        <w:tc>
          <w:tcPr>
            <w:tcW w:w="1316" w:type="dxa"/>
            <w:noWrap/>
            <w:vAlign w:val="bottom"/>
            <w:hideMark/>
          </w:tcPr>
          <w:p w14:paraId="20DA8577" w14:textId="240E221E" w:rsidR="00465972" w:rsidRPr="00AB2F9C" w:rsidRDefault="00465972" w:rsidP="00465972">
            <w:pPr>
              <w:spacing w:line="240" w:lineRule="auto"/>
              <w:jc w:val="right"/>
              <w:rPr>
                <w:rFonts w:cs="Arial"/>
              </w:rPr>
            </w:pPr>
            <w:r>
              <w:rPr>
                <w:rFonts w:cs="Arial"/>
              </w:rPr>
              <w:t>(909)</w:t>
            </w:r>
          </w:p>
        </w:tc>
        <w:tc>
          <w:tcPr>
            <w:tcW w:w="1316" w:type="dxa"/>
            <w:noWrap/>
            <w:vAlign w:val="bottom"/>
            <w:hideMark/>
          </w:tcPr>
          <w:p w14:paraId="7A3EDE33" w14:textId="5CCADE4B" w:rsidR="00465972" w:rsidRPr="00A742D9" w:rsidRDefault="00465972" w:rsidP="00194D9C">
            <w:pPr>
              <w:spacing w:line="240" w:lineRule="auto"/>
              <w:jc w:val="right"/>
              <w:rPr>
                <w:rFonts w:cs="Arial"/>
              </w:rPr>
            </w:pPr>
            <w:r w:rsidRPr="00A742D9">
              <w:rPr>
                <w:rFonts w:cs="Arial"/>
              </w:rPr>
              <w:t>(</w:t>
            </w:r>
            <w:r w:rsidR="00194D9C">
              <w:rPr>
                <w:rFonts w:cs="Arial"/>
              </w:rPr>
              <w:t>455</w:t>
            </w:r>
            <w:r w:rsidRPr="00A742D9">
              <w:rPr>
                <w:rFonts w:cs="Arial"/>
              </w:rPr>
              <w:t>)</w:t>
            </w:r>
          </w:p>
        </w:tc>
        <w:tc>
          <w:tcPr>
            <w:tcW w:w="1316" w:type="dxa"/>
            <w:noWrap/>
            <w:vAlign w:val="bottom"/>
            <w:hideMark/>
          </w:tcPr>
          <w:p w14:paraId="58DF3EAA" w14:textId="03EB8127" w:rsidR="00465972" w:rsidRPr="00A742D9" w:rsidRDefault="00465972" w:rsidP="00194D9C">
            <w:pPr>
              <w:spacing w:line="240" w:lineRule="auto"/>
              <w:jc w:val="right"/>
              <w:rPr>
                <w:rFonts w:cs="Arial"/>
              </w:rPr>
            </w:pPr>
            <w:r w:rsidRPr="00A742D9">
              <w:rPr>
                <w:rFonts w:cs="Arial"/>
              </w:rPr>
              <w:t>(</w:t>
            </w:r>
            <w:r w:rsidR="00194D9C">
              <w:rPr>
                <w:rFonts w:cs="Arial"/>
              </w:rPr>
              <w:t>468</w:t>
            </w:r>
            <w:r w:rsidRPr="00A742D9">
              <w:rPr>
                <w:rFonts w:cs="Arial"/>
              </w:rPr>
              <w:t>)</w:t>
            </w:r>
          </w:p>
        </w:tc>
        <w:tc>
          <w:tcPr>
            <w:tcW w:w="1319" w:type="dxa"/>
            <w:noWrap/>
            <w:vAlign w:val="bottom"/>
            <w:hideMark/>
          </w:tcPr>
          <w:p w14:paraId="0773EE95" w14:textId="622A3D19" w:rsidR="00465972" w:rsidRPr="00A742D9" w:rsidRDefault="0067358A" w:rsidP="00194D9C">
            <w:pPr>
              <w:spacing w:line="240" w:lineRule="auto"/>
              <w:jc w:val="right"/>
              <w:rPr>
                <w:rFonts w:cs="Arial"/>
              </w:rPr>
            </w:pPr>
            <w:r>
              <w:rPr>
                <w:rFonts w:cs="Arial"/>
              </w:rPr>
              <w:t>1</w:t>
            </w:r>
            <w:r w:rsidR="00194D9C">
              <w:rPr>
                <w:rFonts w:cs="Arial"/>
              </w:rPr>
              <w:t>3</w:t>
            </w:r>
          </w:p>
        </w:tc>
        <w:tc>
          <w:tcPr>
            <w:tcW w:w="1134" w:type="dxa"/>
            <w:shd w:val="clear" w:color="auto" w:fill="D9D9D9" w:themeFill="background1" w:themeFillShade="D9"/>
            <w:vAlign w:val="bottom"/>
          </w:tcPr>
          <w:p w14:paraId="0594700C" w14:textId="77777777" w:rsidR="00465972" w:rsidRPr="00FD005B" w:rsidRDefault="00465972" w:rsidP="00465972">
            <w:pPr>
              <w:spacing w:line="240" w:lineRule="auto"/>
              <w:jc w:val="right"/>
              <w:rPr>
                <w:rFonts w:cs="Arial"/>
                <w:color w:val="FF0000"/>
              </w:rPr>
            </w:pPr>
          </w:p>
        </w:tc>
      </w:tr>
      <w:tr w:rsidR="00465972" w:rsidRPr="00AB2F9C" w14:paraId="2AE159DD" w14:textId="77777777" w:rsidTr="00B00E10">
        <w:trPr>
          <w:trHeight w:val="315"/>
        </w:trPr>
        <w:tc>
          <w:tcPr>
            <w:tcW w:w="3640" w:type="dxa"/>
            <w:noWrap/>
            <w:vAlign w:val="bottom"/>
          </w:tcPr>
          <w:p w14:paraId="66A36A75" w14:textId="5852530F" w:rsidR="00465972" w:rsidRPr="00AB2F9C" w:rsidRDefault="00465972" w:rsidP="00465972">
            <w:pPr>
              <w:spacing w:line="240" w:lineRule="auto"/>
              <w:jc w:val="left"/>
              <w:rPr>
                <w:rFonts w:cs="Arial"/>
              </w:rPr>
            </w:pPr>
            <w:r>
              <w:rPr>
                <w:rFonts w:cs="Arial"/>
              </w:rPr>
              <w:t>Pensions deficit payments</w:t>
            </w:r>
          </w:p>
        </w:tc>
        <w:tc>
          <w:tcPr>
            <w:tcW w:w="1316" w:type="dxa"/>
            <w:noWrap/>
            <w:vAlign w:val="bottom"/>
          </w:tcPr>
          <w:p w14:paraId="2637F5A7" w14:textId="6D3325F8" w:rsidR="00465972" w:rsidRPr="00AB2F9C" w:rsidRDefault="00465972" w:rsidP="00465972">
            <w:pPr>
              <w:spacing w:line="240" w:lineRule="auto"/>
              <w:jc w:val="right"/>
              <w:rPr>
                <w:rFonts w:cs="Arial"/>
              </w:rPr>
            </w:pPr>
            <w:r>
              <w:rPr>
                <w:rFonts w:cs="Arial"/>
              </w:rPr>
              <w:t>1,468</w:t>
            </w:r>
          </w:p>
        </w:tc>
        <w:tc>
          <w:tcPr>
            <w:tcW w:w="1316" w:type="dxa"/>
            <w:noWrap/>
            <w:vAlign w:val="bottom"/>
          </w:tcPr>
          <w:p w14:paraId="4BD7D7C4" w14:textId="4D3F913E" w:rsidR="00465972" w:rsidRPr="00A742D9" w:rsidRDefault="00465972" w:rsidP="00465972">
            <w:pPr>
              <w:spacing w:line="240" w:lineRule="auto"/>
              <w:jc w:val="right"/>
              <w:rPr>
                <w:rFonts w:cs="Arial"/>
              </w:rPr>
            </w:pPr>
            <w:r w:rsidRPr="00A742D9">
              <w:rPr>
                <w:rFonts w:cs="Arial"/>
              </w:rPr>
              <w:t>1,468</w:t>
            </w:r>
          </w:p>
        </w:tc>
        <w:tc>
          <w:tcPr>
            <w:tcW w:w="1316" w:type="dxa"/>
            <w:noWrap/>
            <w:vAlign w:val="bottom"/>
          </w:tcPr>
          <w:p w14:paraId="327D5AB6" w14:textId="1AB3E825" w:rsidR="00465972" w:rsidRPr="00A742D9" w:rsidRDefault="00465972" w:rsidP="00465972">
            <w:pPr>
              <w:spacing w:line="240" w:lineRule="auto"/>
              <w:jc w:val="right"/>
              <w:rPr>
                <w:rFonts w:cs="Arial"/>
              </w:rPr>
            </w:pPr>
            <w:r w:rsidRPr="00A742D9">
              <w:rPr>
                <w:rFonts w:cs="Arial"/>
              </w:rPr>
              <w:t>1,468</w:t>
            </w:r>
          </w:p>
        </w:tc>
        <w:tc>
          <w:tcPr>
            <w:tcW w:w="1319" w:type="dxa"/>
            <w:noWrap/>
            <w:vAlign w:val="bottom"/>
          </w:tcPr>
          <w:p w14:paraId="0E0DD029" w14:textId="02DD8725" w:rsidR="00465972" w:rsidRPr="00A742D9" w:rsidRDefault="00465972" w:rsidP="00465972">
            <w:pPr>
              <w:spacing w:line="240" w:lineRule="auto"/>
              <w:jc w:val="right"/>
              <w:rPr>
                <w:rFonts w:cs="Arial"/>
              </w:rPr>
            </w:pPr>
            <w:r w:rsidRPr="00A742D9">
              <w:rPr>
                <w:rFonts w:cs="Arial"/>
              </w:rPr>
              <w:t>0</w:t>
            </w:r>
          </w:p>
        </w:tc>
        <w:tc>
          <w:tcPr>
            <w:tcW w:w="1134" w:type="dxa"/>
            <w:shd w:val="clear" w:color="auto" w:fill="D9D9D9" w:themeFill="background1" w:themeFillShade="D9"/>
            <w:vAlign w:val="bottom"/>
          </w:tcPr>
          <w:p w14:paraId="42F778C8" w14:textId="77777777" w:rsidR="00465972" w:rsidRPr="00FD005B" w:rsidRDefault="00465972" w:rsidP="00465972">
            <w:pPr>
              <w:spacing w:line="240" w:lineRule="auto"/>
              <w:jc w:val="right"/>
              <w:rPr>
                <w:rFonts w:cs="Arial"/>
                <w:color w:val="FF0000"/>
              </w:rPr>
            </w:pPr>
          </w:p>
        </w:tc>
      </w:tr>
      <w:tr w:rsidR="00465972" w:rsidRPr="00AB2F9C" w14:paraId="13E6ED22" w14:textId="77777777" w:rsidTr="00B00E10">
        <w:trPr>
          <w:trHeight w:val="315"/>
        </w:trPr>
        <w:tc>
          <w:tcPr>
            <w:tcW w:w="3640" w:type="dxa"/>
            <w:noWrap/>
            <w:vAlign w:val="bottom"/>
            <w:hideMark/>
          </w:tcPr>
          <w:p w14:paraId="54B51F4F" w14:textId="77777777" w:rsidR="00465972" w:rsidRPr="00AB2F9C" w:rsidRDefault="00465972" w:rsidP="00465972">
            <w:pPr>
              <w:spacing w:line="240" w:lineRule="auto"/>
              <w:jc w:val="left"/>
              <w:rPr>
                <w:rFonts w:cs="Arial"/>
              </w:rPr>
            </w:pPr>
            <w:r w:rsidRPr="00AB2F9C">
              <w:rPr>
                <w:rFonts w:cs="Arial"/>
              </w:rPr>
              <w:t>Parish Precepts</w:t>
            </w:r>
          </w:p>
        </w:tc>
        <w:tc>
          <w:tcPr>
            <w:tcW w:w="1316" w:type="dxa"/>
            <w:noWrap/>
            <w:vAlign w:val="bottom"/>
            <w:hideMark/>
          </w:tcPr>
          <w:p w14:paraId="437F0260" w14:textId="77777777" w:rsidR="00465972" w:rsidRPr="00AB2F9C" w:rsidRDefault="00465972" w:rsidP="00465972">
            <w:pPr>
              <w:spacing w:line="240" w:lineRule="auto"/>
              <w:jc w:val="right"/>
              <w:rPr>
                <w:rFonts w:cs="Arial"/>
              </w:rPr>
            </w:pPr>
            <w:r w:rsidRPr="00AB2F9C">
              <w:rPr>
                <w:rFonts w:cs="Arial"/>
              </w:rPr>
              <w:t>398</w:t>
            </w:r>
          </w:p>
        </w:tc>
        <w:tc>
          <w:tcPr>
            <w:tcW w:w="1316" w:type="dxa"/>
            <w:noWrap/>
            <w:vAlign w:val="bottom"/>
            <w:hideMark/>
          </w:tcPr>
          <w:p w14:paraId="7A8AED32" w14:textId="77777777" w:rsidR="00465972" w:rsidRPr="00BE7115" w:rsidRDefault="00465972" w:rsidP="00465972">
            <w:pPr>
              <w:spacing w:line="240" w:lineRule="auto"/>
              <w:jc w:val="right"/>
              <w:rPr>
                <w:rFonts w:cs="Arial"/>
              </w:rPr>
            </w:pPr>
            <w:r w:rsidRPr="00BE7115">
              <w:rPr>
                <w:rFonts w:cs="Arial"/>
              </w:rPr>
              <w:t>398</w:t>
            </w:r>
          </w:p>
        </w:tc>
        <w:tc>
          <w:tcPr>
            <w:tcW w:w="1316" w:type="dxa"/>
            <w:noWrap/>
            <w:vAlign w:val="bottom"/>
            <w:hideMark/>
          </w:tcPr>
          <w:p w14:paraId="3EBA8C94" w14:textId="77777777" w:rsidR="00465972" w:rsidRPr="00BE7115" w:rsidRDefault="00465972" w:rsidP="00465972">
            <w:pPr>
              <w:spacing w:line="240" w:lineRule="auto"/>
              <w:jc w:val="right"/>
              <w:rPr>
                <w:rFonts w:cs="Arial"/>
              </w:rPr>
            </w:pPr>
            <w:r w:rsidRPr="00BE7115">
              <w:rPr>
                <w:rFonts w:cs="Arial"/>
              </w:rPr>
              <w:t>398</w:t>
            </w:r>
          </w:p>
        </w:tc>
        <w:tc>
          <w:tcPr>
            <w:tcW w:w="1319" w:type="dxa"/>
            <w:noWrap/>
            <w:vAlign w:val="bottom"/>
            <w:hideMark/>
          </w:tcPr>
          <w:p w14:paraId="15AFD585" w14:textId="77777777" w:rsidR="00465972" w:rsidRPr="00BE7115" w:rsidRDefault="00465972" w:rsidP="00465972">
            <w:pPr>
              <w:spacing w:line="240" w:lineRule="auto"/>
              <w:jc w:val="right"/>
              <w:rPr>
                <w:rFonts w:cs="Arial"/>
              </w:rPr>
            </w:pPr>
            <w:r w:rsidRPr="00BE7115">
              <w:rPr>
                <w:rFonts w:cs="Arial"/>
              </w:rPr>
              <w:t>0</w:t>
            </w:r>
          </w:p>
        </w:tc>
        <w:tc>
          <w:tcPr>
            <w:tcW w:w="1134" w:type="dxa"/>
            <w:shd w:val="clear" w:color="auto" w:fill="D9D9D9" w:themeFill="background1" w:themeFillShade="D9"/>
            <w:vAlign w:val="bottom"/>
          </w:tcPr>
          <w:p w14:paraId="159F1B4C" w14:textId="77777777" w:rsidR="00465972" w:rsidRPr="00FD005B" w:rsidRDefault="00465972" w:rsidP="00465972">
            <w:pPr>
              <w:spacing w:line="240" w:lineRule="auto"/>
              <w:jc w:val="right"/>
              <w:rPr>
                <w:rFonts w:cs="Arial"/>
                <w:color w:val="FF0000"/>
              </w:rPr>
            </w:pPr>
          </w:p>
        </w:tc>
      </w:tr>
      <w:tr w:rsidR="00BE7115" w:rsidRPr="00BE7115" w14:paraId="3BCC90DC" w14:textId="77777777" w:rsidTr="00B00E10">
        <w:trPr>
          <w:trHeight w:val="315"/>
        </w:trPr>
        <w:tc>
          <w:tcPr>
            <w:tcW w:w="3640" w:type="dxa"/>
            <w:noWrap/>
            <w:vAlign w:val="bottom"/>
            <w:hideMark/>
          </w:tcPr>
          <w:p w14:paraId="6172B988" w14:textId="77777777" w:rsidR="00465972" w:rsidRPr="00AB2F9C" w:rsidRDefault="00465972" w:rsidP="00465972">
            <w:pPr>
              <w:spacing w:line="240" w:lineRule="auto"/>
              <w:jc w:val="left"/>
              <w:rPr>
                <w:rFonts w:cs="Arial"/>
              </w:rPr>
            </w:pPr>
            <w:r w:rsidRPr="00AB2F9C">
              <w:rPr>
                <w:rFonts w:cs="Arial"/>
              </w:rPr>
              <w:t>Investment Interest</w:t>
            </w:r>
          </w:p>
        </w:tc>
        <w:tc>
          <w:tcPr>
            <w:tcW w:w="1316" w:type="dxa"/>
            <w:noWrap/>
            <w:vAlign w:val="bottom"/>
            <w:hideMark/>
          </w:tcPr>
          <w:p w14:paraId="0944895A" w14:textId="53731D42" w:rsidR="00465972" w:rsidRPr="00AB2F9C" w:rsidRDefault="00465972" w:rsidP="00BE7115">
            <w:pPr>
              <w:spacing w:line="240" w:lineRule="auto"/>
              <w:jc w:val="right"/>
              <w:rPr>
                <w:rFonts w:cs="Arial"/>
              </w:rPr>
            </w:pPr>
            <w:r w:rsidRPr="00AB2F9C">
              <w:rPr>
                <w:rFonts w:cs="Arial"/>
              </w:rPr>
              <w:t>(</w:t>
            </w:r>
            <w:r w:rsidR="00BE7115">
              <w:rPr>
                <w:rFonts w:cs="Arial"/>
              </w:rPr>
              <w:t>109</w:t>
            </w:r>
            <w:r w:rsidRPr="00AB2F9C">
              <w:rPr>
                <w:rFonts w:cs="Arial"/>
              </w:rPr>
              <w:t>)</w:t>
            </w:r>
          </w:p>
        </w:tc>
        <w:tc>
          <w:tcPr>
            <w:tcW w:w="1316" w:type="dxa"/>
            <w:noWrap/>
            <w:vAlign w:val="bottom"/>
            <w:hideMark/>
          </w:tcPr>
          <w:p w14:paraId="2555E73D" w14:textId="4E0351A4" w:rsidR="00465972" w:rsidRPr="00BE7115" w:rsidRDefault="00465972" w:rsidP="00194D9C">
            <w:pPr>
              <w:spacing w:line="240" w:lineRule="auto"/>
              <w:jc w:val="right"/>
              <w:rPr>
                <w:rFonts w:cs="Arial"/>
              </w:rPr>
            </w:pPr>
            <w:r w:rsidRPr="00BE7115">
              <w:rPr>
                <w:rFonts w:cs="Arial"/>
              </w:rPr>
              <w:t>(</w:t>
            </w:r>
            <w:r w:rsidR="00194D9C">
              <w:rPr>
                <w:rFonts w:cs="Arial"/>
              </w:rPr>
              <w:t>5</w:t>
            </w:r>
            <w:r w:rsidR="00BE7115" w:rsidRPr="00BE7115">
              <w:rPr>
                <w:rFonts w:cs="Arial"/>
              </w:rPr>
              <w:t>5</w:t>
            </w:r>
            <w:r w:rsidRPr="00BE7115">
              <w:rPr>
                <w:rFonts w:cs="Arial"/>
              </w:rPr>
              <w:t>)</w:t>
            </w:r>
          </w:p>
        </w:tc>
        <w:tc>
          <w:tcPr>
            <w:tcW w:w="1316" w:type="dxa"/>
            <w:noWrap/>
            <w:vAlign w:val="bottom"/>
            <w:hideMark/>
          </w:tcPr>
          <w:p w14:paraId="6B94C2B5" w14:textId="38CA0B0A" w:rsidR="00465972" w:rsidRPr="00BE7115" w:rsidRDefault="00465972" w:rsidP="00194D9C">
            <w:pPr>
              <w:spacing w:line="240" w:lineRule="auto"/>
              <w:jc w:val="right"/>
              <w:rPr>
                <w:rFonts w:cs="Arial"/>
              </w:rPr>
            </w:pPr>
            <w:r w:rsidRPr="00BE7115">
              <w:rPr>
                <w:rFonts w:cs="Arial"/>
              </w:rPr>
              <w:t>(</w:t>
            </w:r>
            <w:r w:rsidR="00194D9C">
              <w:rPr>
                <w:rFonts w:cs="Arial"/>
              </w:rPr>
              <w:t>83</w:t>
            </w:r>
            <w:r w:rsidRPr="00BE7115">
              <w:rPr>
                <w:rFonts w:cs="Arial"/>
              </w:rPr>
              <w:t>)</w:t>
            </w:r>
          </w:p>
        </w:tc>
        <w:tc>
          <w:tcPr>
            <w:tcW w:w="1319" w:type="dxa"/>
            <w:noWrap/>
            <w:vAlign w:val="bottom"/>
            <w:hideMark/>
          </w:tcPr>
          <w:p w14:paraId="44FE98C2" w14:textId="092D0D47" w:rsidR="00465972" w:rsidRPr="00BE7115" w:rsidRDefault="00465972" w:rsidP="00194D9C">
            <w:pPr>
              <w:spacing w:line="240" w:lineRule="auto"/>
              <w:jc w:val="right"/>
              <w:rPr>
                <w:rFonts w:cs="Arial"/>
              </w:rPr>
            </w:pPr>
            <w:r w:rsidRPr="00BE7115">
              <w:rPr>
                <w:rFonts w:cs="Arial"/>
              </w:rPr>
              <w:t>2</w:t>
            </w:r>
            <w:r w:rsidR="00194D9C">
              <w:rPr>
                <w:rFonts w:cs="Arial"/>
              </w:rPr>
              <w:t>8</w:t>
            </w:r>
          </w:p>
        </w:tc>
        <w:tc>
          <w:tcPr>
            <w:tcW w:w="1134" w:type="dxa"/>
            <w:shd w:val="clear" w:color="auto" w:fill="D9D9D9" w:themeFill="background1" w:themeFillShade="D9"/>
            <w:vAlign w:val="bottom"/>
          </w:tcPr>
          <w:p w14:paraId="76371FD1" w14:textId="62B4689E" w:rsidR="00465972" w:rsidRPr="00BE7115" w:rsidRDefault="00B00E10" w:rsidP="00B00E10">
            <w:pPr>
              <w:spacing w:line="240" w:lineRule="auto"/>
              <w:jc w:val="right"/>
              <w:rPr>
                <w:rFonts w:cs="Arial"/>
                <w:color w:val="FF0000"/>
              </w:rPr>
            </w:pPr>
            <w:r w:rsidRPr="00B00E10">
              <w:rPr>
                <w:rFonts w:cs="Arial"/>
              </w:rPr>
              <w:t>50</w:t>
            </w:r>
          </w:p>
        </w:tc>
      </w:tr>
      <w:tr w:rsidR="00465972" w:rsidRPr="00AB2F9C" w14:paraId="7CE997CD" w14:textId="77777777" w:rsidTr="00B00E10">
        <w:trPr>
          <w:trHeight w:val="315"/>
        </w:trPr>
        <w:tc>
          <w:tcPr>
            <w:tcW w:w="3640" w:type="dxa"/>
            <w:noWrap/>
            <w:vAlign w:val="bottom"/>
            <w:hideMark/>
          </w:tcPr>
          <w:p w14:paraId="31DE0C2F" w14:textId="77777777" w:rsidR="00465972" w:rsidRPr="00AB2F9C" w:rsidRDefault="00465972" w:rsidP="00465972">
            <w:pPr>
              <w:spacing w:line="240" w:lineRule="auto"/>
              <w:jc w:val="left"/>
              <w:rPr>
                <w:rFonts w:cs="Arial"/>
              </w:rPr>
            </w:pPr>
            <w:r w:rsidRPr="00AB2F9C">
              <w:rPr>
                <w:rFonts w:cs="Arial"/>
              </w:rPr>
              <w:t>Interest Payable</w:t>
            </w:r>
          </w:p>
        </w:tc>
        <w:tc>
          <w:tcPr>
            <w:tcW w:w="1316" w:type="dxa"/>
            <w:noWrap/>
            <w:vAlign w:val="bottom"/>
            <w:hideMark/>
          </w:tcPr>
          <w:p w14:paraId="2E862CC2" w14:textId="77777777" w:rsidR="00465972" w:rsidRPr="00AB2F9C" w:rsidRDefault="00465972" w:rsidP="00465972">
            <w:pPr>
              <w:spacing w:line="240" w:lineRule="auto"/>
              <w:jc w:val="right"/>
              <w:rPr>
                <w:rFonts w:cs="Arial"/>
              </w:rPr>
            </w:pPr>
            <w:r w:rsidRPr="00AB2F9C">
              <w:rPr>
                <w:rFonts w:cs="Arial"/>
              </w:rPr>
              <w:t>120</w:t>
            </w:r>
          </w:p>
        </w:tc>
        <w:tc>
          <w:tcPr>
            <w:tcW w:w="1316" w:type="dxa"/>
            <w:noWrap/>
            <w:vAlign w:val="bottom"/>
            <w:hideMark/>
          </w:tcPr>
          <w:p w14:paraId="6C6FE577" w14:textId="52797519" w:rsidR="00465972" w:rsidRPr="00D00489" w:rsidRDefault="00194D9C" w:rsidP="00194D9C">
            <w:pPr>
              <w:spacing w:line="240" w:lineRule="auto"/>
              <w:jc w:val="right"/>
              <w:rPr>
                <w:rFonts w:cs="Arial"/>
              </w:rPr>
            </w:pPr>
            <w:r>
              <w:rPr>
                <w:rFonts w:cs="Arial"/>
              </w:rPr>
              <w:t>60</w:t>
            </w:r>
          </w:p>
        </w:tc>
        <w:tc>
          <w:tcPr>
            <w:tcW w:w="1316" w:type="dxa"/>
            <w:noWrap/>
            <w:vAlign w:val="bottom"/>
            <w:hideMark/>
          </w:tcPr>
          <w:p w14:paraId="1BC30204" w14:textId="060ACE9B" w:rsidR="00465972" w:rsidRPr="00D00489" w:rsidRDefault="00194D9C" w:rsidP="00194D9C">
            <w:pPr>
              <w:spacing w:line="240" w:lineRule="auto"/>
              <w:jc w:val="right"/>
              <w:rPr>
                <w:rFonts w:cs="Arial"/>
              </w:rPr>
            </w:pPr>
            <w:r>
              <w:rPr>
                <w:rFonts w:cs="Arial"/>
              </w:rPr>
              <w:t>6</w:t>
            </w:r>
            <w:r w:rsidR="00D00489" w:rsidRPr="00D00489">
              <w:rPr>
                <w:rFonts w:cs="Arial"/>
              </w:rPr>
              <w:t>0</w:t>
            </w:r>
          </w:p>
        </w:tc>
        <w:tc>
          <w:tcPr>
            <w:tcW w:w="1319" w:type="dxa"/>
            <w:noWrap/>
            <w:vAlign w:val="bottom"/>
            <w:hideMark/>
          </w:tcPr>
          <w:p w14:paraId="233109A1" w14:textId="77777777" w:rsidR="00465972" w:rsidRPr="00D00489" w:rsidRDefault="00465972" w:rsidP="00465972">
            <w:pPr>
              <w:spacing w:line="240" w:lineRule="auto"/>
              <w:jc w:val="right"/>
              <w:rPr>
                <w:rFonts w:cs="Arial"/>
              </w:rPr>
            </w:pPr>
            <w:r w:rsidRPr="00D00489">
              <w:rPr>
                <w:rFonts w:cs="Arial"/>
              </w:rPr>
              <w:t>0</w:t>
            </w:r>
          </w:p>
        </w:tc>
        <w:tc>
          <w:tcPr>
            <w:tcW w:w="1134" w:type="dxa"/>
            <w:shd w:val="clear" w:color="auto" w:fill="D9D9D9" w:themeFill="background1" w:themeFillShade="D9"/>
            <w:vAlign w:val="bottom"/>
          </w:tcPr>
          <w:p w14:paraId="2B4B257B" w14:textId="77777777" w:rsidR="00465972" w:rsidRPr="00FD005B" w:rsidRDefault="00465972" w:rsidP="00465972">
            <w:pPr>
              <w:spacing w:line="240" w:lineRule="auto"/>
              <w:jc w:val="right"/>
              <w:rPr>
                <w:rFonts w:cs="Arial"/>
                <w:color w:val="FF0000"/>
              </w:rPr>
            </w:pPr>
          </w:p>
        </w:tc>
      </w:tr>
      <w:tr w:rsidR="00465972" w:rsidRPr="00AB2F9C" w14:paraId="1C6BD4E7" w14:textId="77777777" w:rsidTr="00B00E10">
        <w:trPr>
          <w:trHeight w:val="315"/>
        </w:trPr>
        <w:tc>
          <w:tcPr>
            <w:tcW w:w="3640" w:type="dxa"/>
            <w:noWrap/>
            <w:vAlign w:val="bottom"/>
            <w:hideMark/>
          </w:tcPr>
          <w:p w14:paraId="1B4DCF7C" w14:textId="3E1E6DE2" w:rsidR="00465972" w:rsidRPr="00AB2F9C" w:rsidRDefault="00B00E10" w:rsidP="00465972">
            <w:pPr>
              <w:spacing w:line="240" w:lineRule="auto"/>
              <w:jc w:val="left"/>
              <w:rPr>
                <w:rFonts w:cs="Arial"/>
              </w:rPr>
            </w:pPr>
            <w:r>
              <w:rPr>
                <w:rFonts w:cs="Arial"/>
              </w:rPr>
              <w:t>Pr</w:t>
            </w:r>
            <w:r w:rsidR="00465972" w:rsidRPr="00AB2F9C">
              <w:rPr>
                <w:rFonts w:cs="Arial"/>
              </w:rPr>
              <w:t>ovision for Repayment of Debt</w:t>
            </w:r>
          </w:p>
        </w:tc>
        <w:tc>
          <w:tcPr>
            <w:tcW w:w="1316" w:type="dxa"/>
            <w:noWrap/>
            <w:vAlign w:val="bottom"/>
            <w:hideMark/>
          </w:tcPr>
          <w:p w14:paraId="131D94D5" w14:textId="77777777" w:rsidR="00465972" w:rsidRPr="00AB2F9C" w:rsidRDefault="00465972" w:rsidP="00465972">
            <w:pPr>
              <w:spacing w:line="240" w:lineRule="auto"/>
              <w:jc w:val="right"/>
              <w:rPr>
                <w:rFonts w:cs="Arial"/>
              </w:rPr>
            </w:pPr>
            <w:r w:rsidRPr="00AB2F9C">
              <w:rPr>
                <w:rFonts w:cs="Arial"/>
              </w:rPr>
              <w:t>1,017</w:t>
            </w:r>
          </w:p>
        </w:tc>
        <w:tc>
          <w:tcPr>
            <w:tcW w:w="1316" w:type="dxa"/>
            <w:noWrap/>
            <w:vAlign w:val="bottom"/>
            <w:hideMark/>
          </w:tcPr>
          <w:p w14:paraId="70E37D27" w14:textId="77777777" w:rsidR="00465972" w:rsidRPr="00DF5464" w:rsidRDefault="00465972" w:rsidP="00465972">
            <w:pPr>
              <w:spacing w:line="240" w:lineRule="auto"/>
              <w:jc w:val="right"/>
              <w:rPr>
                <w:rFonts w:cs="Arial"/>
              </w:rPr>
            </w:pPr>
            <w:r w:rsidRPr="00DF5464">
              <w:rPr>
                <w:rFonts w:cs="Arial"/>
              </w:rPr>
              <w:t>1,018</w:t>
            </w:r>
          </w:p>
        </w:tc>
        <w:tc>
          <w:tcPr>
            <w:tcW w:w="1316" w:type="dxa"/>
            <w:noWrap/>
            <w:vAlign w:val="bottom"/>
            <w:hideMark/>
          </w:tcPr>
          <w:p w14:paraId="62452FD6" w14:textId="77777777" w:rsidR="00465972" w:rsidRPr="00DF5464" w:rsidRDefault="00465972" w:rsidP="00465972">
            <w:pPr>
              <w:spacing w:line="240" w:lineRule="auto"/>
              <w:jc w:val="right"/>
              <w:rPr>
                <w:rFonts w:cs="Arial"/>
              </w:rPr>
            </w:pPr>
            <w:r w:rsidRPr="00DF5464">
              <w:rPr>
                <w:rFonts w:cs="Arial"/>
              </w:rPr>
              <w:t>989</w:t>
            </w:r>
          </w:p>
        </w:tc>
        <w:tc>
          <w:tcPr>
            <w:tcW w:w="1319" w:type="dxa"/>
            <w:noWrap/>
            <w:vAlign w:val="bottom"/>
            <w:hideMark/>
          </w:tcPr>
          <w:p w14:paraId="13490986" w14:textId="77777777" w:rsidR="00465972" w:rsidRPr="00DF5464" w:rsidRDefault="00465972" w:rsidP="00465972">
            <w:pPr>
              <w:spacing w:line="240" w:lineRule="auto"/>
              <w:jc w:val="right"/>
              <w:rPr>
                <w:rFonts w:cs="Arial"/>
              </w:rPr>
            </w:pPr>
            <w:r w:rsidRPr="00DF5464">
              <w:rPr>
                <w:rFonts w:cs="Arial"/>
              </w:rPr>
              <w:t>29</w:t>
            </w:r>
          </w:p>
        </w:tc>
        <w:tc>
          <w:tcPr>
            <w:tcW w:w="1134" w:type="dxa"/>
            <w:shd w:val="clear" w:color="auto" w:fill="D9D9D9" w:themeFill="background1" w:themeFillShade="D9"/>
            <w:vAlign w:val="bottom"/>
          </w:tcPr>
          <w:p w14:paraId="73FF18EB" w14:textId="77777777" w:rsidR="00465972" w:rsidRPr="00DF5464" w:rsidRDefault="00465972" w:rsidP="00465972">
            <w:pPr>
              <w:spacing w:line="240" w:lineRule="auto"/>
              <w:jc w:val="right"/>
              <w:rPr>
                <w:rFonts w:cs="Arial"/>
              </w:rPr>
            </w:pPr>
            <w:r w:rsidRPr="00DF5464">
              <w:rPr>
                <w:rFonts w:cs="Arial"/>
              </w:rPr>
              <w:t>29</w:t>
            </w:r>
          </w:p>
        </w:tc>
      </w:tr>
      <w:tr w:rsidR="00465972" w:rsidRPr="00AB2F9C" w14:paraId="78C327BB" w14:textId="77777777" w:rsidTr="00B00E10">
        <w:trPr>
          <w:trHeight w:val="315"/>
        </w:trPr>
        <w:tc>
          <w:tcPr>
            <w:tcW w:w="3640" w:type="dxa"/>
            <w:noWrap/>
            <w:vAlign w:val="bottom"/>
            <w:hideMark/>
          </w:tcPr>
          <w:p w14:paraId="6FD35A30" w14:textId="75C3292C" w:rsidR="00465972" w:rsidRPr="00AB2F9C" w:rsidRDefault="00465972" w:rsidP="00373DF6">
            <w:pPr>
              <w:spacing w:line="240" w:lineRule="auto"/>
              <w:jc w:val="left"/>
              <w:rPr>
                <w:rFonts w:cs="Arial"/>
              </w:rPr>
            </w:pPr>
            <w:r w:rsidRPr="00AB2F9C">
              <w:rPr>
                <w:rFonts w:cs="Arial"/>
              </w:rPr>
              <w:t xml:space="preserve">Transfers from </w:t>
            </w:r>
            <w:r w:rsidR="00373DF6">
              <w:rPr>
                <w:rFonts w:cs="Arial"/>
              </w:rPr>
              <w:t>General Reserves</w:t>
            </w:r>
          </w:p>
        </w:tc>
        <w:tc>
          <w:tcPr>
            <w:tcW w:w="1316" w:type="dxa"/>
            <w:noWrap/>
            <w:vAlign w:val="bottom"/>
            <w:hideMark/>
          </w:tcPr>
          <w:p w14:paraId="1A37CD17" w14:textId="3DE8FD16" w:rsidR="00465972" w:rsidRPr="00AB2F9C" w:rsidRDefault="00373DF6" w:rsidP="00373DF6">
            <w:pPr>
              <w:spacing w:line="240" w:lineRule="auto"/>
              <w:jc w:val="right"/>
              <w:rPr>
                <w:rFonts w:cs="Arial"/>
              </w:rPr>
            </w:pPr>
            <w:r>
              <w:rPr>
                <w:rFonts w:cs="Arial"/>
              </w:rPr>
              <w:t>(418)</w:t>
            </w:r>
          </w:p>
        </w:tc>
        <w:tc>
          <w:tcPr>
            <w:tcW w:w="1316" w:type="dxa"/>
            <w:noWrap/>
            <w:vAlign w:val="bottom"/>
            <w:hideMark/>
          </w:tcPr>
          <w:p w14:paraId="69C3A353" w14:textId="7826F43F" w:rsidR="00465972" w:rsidRPr="00373DF6" w:rsidRDefault="00373DF6" w:rsidP="00373DF6">
            <w:pPr>
              <w:spacing w:line="240" w:lineRule="auto"/>
              <w:jc w:val="right"/>
              <w:rPr>
                <w:rFonts w:cs="Arial"/>
              </w:rPr>
            </w:pPr>
            <w:r w:rsidRPr="00373DF6">
              <w:rPr>
                <w:rFonts w:cs="Arial"/>
              </w:rPr>
              <w:t>0</w:t>
            </w:r>
          </w:p>
        </w:tc>
        <w:tc>
          <w:tcPr>
            <w:tcW w:w="1316" w:type="dxa"/>
            <w:noWrap/>
            <w:vAlign w:val="bottom"/>
            <w:hideMark/>
          </w:tcPr>
          <w:p w14:paraId="115D9B4B" w14:textId="5FAB274F" w:rsidR="00465972" w:rsidRPr="00373DF6" w:rsidRDefault="00373DF6" w:rsidP="00373DF6">
            <w:pPr>
              <w:spacing w:line="240" w:lineRule="auto"/>
              <w:jc w:val="right"/>
              <w:rPr>
                <w:rFonts w:cs="Arial"/>
              </w:rPr>
            </w:pPr>
            <w:r w:rsidRPr="00373DF6">
              <w:rPr>
                <w:rFonts w:cs="Arial"/>
              </w:rPr>
              <w:t>0</w:t>
            </w:r>
          </w:p>
        </w:tc>
        <w:tc>
          <w:tcPr>
            <w:tcW w:w="1319" w:type="dxa"/>
            <w:noWrap/>
            <w:vAlign w:val="bottom"/>
            <w:hideMark/>
          </w:tcPr>
          <w:p w14:paraId="4F1B548D" w14:textId="77777777" w:rsidR="00465972" w:rsidRPr="00373DF6" w:rsidRDefault="00465972" w:rsidP="00465972">
            <w:pPr>
              <w:spacing w:line="240" w:lineRule="auto"/>
              <w:jc w:val="right"/>
              <w:rPr>
                <w:rFonts w:cs="Arial"/>
              </w:rPr>
            </w:pPr>
            <w:r w:rsidRPr="00373DF6">
              <w:rPr>
                <w:rFonts w:cs="Arial"/>
              </w:rPr>
              <w:t>0</w:t>
            </w:r>
          </w:p>
        </w:tc>
        <w:tc>
          <w:tcPr>
            <w:tcW w:w="1134" w:type="dxa"/>
            <w:shd w:val="clear" w:color="auto" w:fill="D9D9D9" w:themeFill="background1" w:themeFillShade="D9"/>
            <w:vAlign w:val="bottom"/>
          </w:tcPr>
          <w:p w14:paraId="668789ED" w14:textId="77777777" w:rsidR="00465972" w:rsidRPr="00FD005B" w:rsidRDefault="00465972" w:rsidP="00465972">
            <w:pPr>
              <w:spacing w:line="240" w:lineRule="auto"/>
              <w:jc w:val="right"/>
              <w:rPr>
                <w:rFonts w:cs="Arial"/>
                <w:color w:val="FF0000"/>
              </w:rPr>
            </w:pPr>
          </w:p>
        </w:tc>
      </w:tr>
      <w:tr w:rsidR="00373DF6" w:rsidRPr="00AB2F9C" w14:paraId="2528BAFA" w14:textId="77777777" w:rsidTr="00B00E10">
        <w:trPr>
          <w:trHeight w:val="315"/>
        </w:trPr>
        <w:tc>
          <w:tcPr>
            <w:tcW w:w="3640" w:type="dxa"/>
            <w:noWrap/>
            <w:vAlign w:val="bottom"/>
          </w:tcPr>
          <w:p w14:paraId="5597E717" w14:textId="5B0F69B4" w:rsidR="00373DF6" w:rsidRPr="00AB2F9C" w:rsidRDefault="00373DF6" w:rsidP="00465972">
            <w:pPr>
              <w:spacing w:line="240" w:lineRule="auto"/>
              <w:jc w:val="left"/>
              <w:rPr>
                <w:rFonts w:cs="Arial"/>
              </w:rPr>
            </w:pPr>
            <w:r w:rsidRPr="00AB2F9C">
              <w:rPr>
                <w:rFonts w:cs="Arial"/>
              </w:rPr>
              <w:t xml:space="preserve">Transfers to &amp; from </w:t>
            </w:r>
            <w:r>
              <w:rPr>
                <w:rFonts w:cs="Arial"/>
              </w:rPr>
              <w:t xml:space="preserve">Earmarked </w:t>
            </w:r>
            <w:r w:rsidRPr="00AB2F9C">
              <w:rPr>
                <w:rFonts w:cs="Arial"/>
              </w:rPr>
              <w:t>reserves</w:t>
            </w:r>
          </w:p>
        </w:tc>
        <w:tc>
          <w:tcPr>
            <w:tcW w:w="1316" w:type="dxa"/>
            <w:noWrap/>
            <w:vAlign w:val="bottom"/>
          </w:tcPr>
          <w:p w14:paraId="3F89304D" w14:textId="440FDA1D" w:rsidR="00373DF6" w:rsidRPr="00AB2F9C" w:rsidRDefault="00373DF6" w:rsidP="00465972">
            <w:pPr>
              <w:spacing w:line="240" w:lineRule="auto"/>
              <w:jc w:val="right"/>
              <w:rPr>
                <w:rFonts w:cs="Arial"/>
              </w:rPr>
            </w:pPr>
            <w:r>
              <w:rPr>
                <w:rFonts w:cs="Arial"/>
              </w:rPr>
              <w:t>321</w:t>
            </w:r>
          </w:p>
        </w:tc>
        <w:tc>
          <w:tcPr>
            <w:tcW w:w="1316" w:type="dxa"/>
            <w:noWrap/>
            <w:vAlign w:val="bottom"/>
          </w:tcPr>
          <w:p w14:paraId="0D0ED6BD" w14:textId="5B39F71B" w:rsidR="00373DF6" w:rsidRPr="00373DF6" w:rsidRDefault="00194D9C" w:rsidP="00194D9C">
            <w:pPr>
              <w:spacing w:line="240" w:lineRule="auto"/>
              <w:jc w:val="right"/>
              <w:rPr>
                <w:rFonts w:cs="Arial"/>
              </w:rPr>
            </w:pPr>
            <w:r>
              <w:rPr>
                <w:rFonts w:cs="Arial"/>
              </w:rPr>
              <w:t>446</w:t>
            </w:r>
          </w:p>
        </w:tc>
        <w:tc>
          <w:tcPr>
            <w:tcW w:w="1316" w:type="dxa"/>
            <w:noWrap/>
            <w:vAlign w:val="bottom"/>
          </w:tcPr>
          <w:p w14:paraId="0D50BF32" w14:textId="6712B62D" w:rsidR="00373DF6" w:rsidRPr="00373DF6" w:rsidRDefault="00194D9C" w:rsidP="00194D9C">
            <w:pPr>
              <w:spacing w:line="240" w:lineRule="auto"/>
              <w:jc w:val="right"/>
              <w:rPr>
                <w:rFonts w:cs="Arial"/>
              </w:rPr>
            </w:pPr>
            <w:r>
              <w:rPr>
                <w:rFonts w:cs="Arial"/>
              </w:rPr>
              <w:t>446</w:t>
            </w:r>
          </w:p>
        </w:tc>
        <w:tc>
          <w:tcPr>
            <w:tcW w:w="1319" w:type="dxa"/>
            <w:noWrap/>
            <w:vAlign w:val="bottom"/>
          </w:tcPr>
          <w:p w14:paraId="6DC38CEB" w14:textId="2F8A17B9" w:rsidR="00373DF6" w:rsidRPr="00373DF6" w:rsidRDefault="00194D9C" w:rsidP="00194D9C">
            <w:pPr>
              <w:spacing w:line="240" w:lineRule="auto"/>
              <w:jc w:val="right"/>
              <w:rPr>
                <w:rFonts w:cs="Arial"/>
              </w:rPr>
            </w:pPr>
            <w:r>
              <w:rPr>
                <w:rFonts w:cs="Arial"/>
              </w:rPr>
              <w:t>0</w:t>
            </w:r>
          </w:p>
        </w:tc>
        <w:tc>
          <w:tcPr>
            <w:tcW w:w="1134" w:type="dxa"/>
            <w:shd w:val="clear" w:color="auto" w:fill="D9D9D9" w:themeFill="background1" w:themeFillShade="D9"/>
            <w:vAlign w:val="bottom"/>
          </w:tcPr>
          <w:p w14:paraId="02021693" w14:textId="77777777" w:rsidR="00373DF6" w:rsidRPr="00FD005B" w:rsidRDefault="00373DF6" w:rsidP="00465972">
            <w:pPr>
              <w:spacing w:line="240" w:lineRule="auto"/>
              <w:jc w:val="right"/>
              <w:rPr>
                <w:rFonts w:cs="Arial"/>
                <w:color w:val="FF0000"/>
              </w:rPr>
            </w:pPr>
          </w:p>
        </w:tc>
      </w:tr>
      <w:tr w:rsidR="00465972" w:rsidRPr="00212006" w14:paraId="3D12B35B" w14:textId="77777777" w:rsidTr="00B00E10">
        <w:trPr>
          <w:trHeight w:val="508"/>
        </w:trPr>
        <w:tc>
          <w:tcPr>
            <w:tcW w:w="3640" w:type="dxa"/>
            <w:noWrap/>
            <w:vAlign w:val="bottom"/>
            <w:hideMark/>
          </w:tcPr>
          <w:p w14:paraId="71D81A94" w14:textId="1CDB7C1A" w:rsidR="00465972" w:rsidRPr="006366E3" w:rsidRDefault="00465972" w:rsidP="00465972">
            <w:pPr>
              <w:spacing w:line="240" w:lineRule="auto"/>
              <w:jc w:val="left"/>
              <w:rPr>
                <w:rFonts w:cs="Arial"/>
                <w:b/>
                <w:i/>
              </w:rPr>
            </w:pPr>
            <w:r w:rsidRPr="006366E3">
              <w:rPr>
                <w:rFonts w:cs="Arial"/>
                <w:b/>
                <w:i/>
              </w:rPr>
              <w:t>Total Net Expenditure</w:t>
            </w:r>
          </w:p>
        </w:tc>
        <w:tc>
          <w:tcPr>
            <w:tcW w:w="1316" w:type="dxa"/>
            <w:noWrap/>
            <w:vAlign w:val="bottom"/>
            <w:hideMark/>
          </w:tcPr>
          <w:p w14:paraId="0A80A478" w14:textId="3C0E5EC3" w:rsidR="00465972" w:rsidRPr="006366E3" w:rsidRDefault="00465972" w:rsidP="00033F89">
            <w:pPr>
              <w:spacing w:line="240" w:lineRule="auto"/>
              <w:jc w:val="right"/>
              <w:rPr>
                <w:rFonts w:cs="Arial"/>
                <w:b/>
                <w:i/>
              </w:rPr>
            </w:pPr>
            <w:r w:rsidRPr="006366E3">
              <w:rPr>
                <w:rFonts w:cs="Arial"/>
                <w:b/>
                <w:i/>
              </w:rPr>
              <w:t>14</w:t>
            </w:r>
            <w:r w:rsidR="00033F89">
              <w:rPr>
                <w:rFonts w:cs="Arial"/>
                <w:b/>
                <w:i/>
              </w:rPr>
              <w:t>,</w:t>
            </w:r>
            <w:r w:rsidRPr="006366E3">
              <w:rPr>
                <w:rFonts w:cs="Arial"/>
                <w:b/>
                <w:i/>
              </w:rPr>
              <w:t>197</w:t>
            </w:r>
          </w:p>
        </w:tc>
        <w:tc>
          <w:tcPr>
            <w:tcW w:w="1316" w:type="dxa"/>
            <w:noWrap/>
            <w:vAlign w:val="bottom"/>
            <w:hideMark/>
          </w:tcPr>
          <w:p w14:paraId="04323716" w14:textId="19F7BD59" w:rsidR="00465972" w:rsidRPr="00F244A1" w:rsidRDefault="00F244A1" w:rsidP="00033F89">
            <w:pPr>
              <w:spacing w:line="240" w:lineRule="auto"/>
              <w:jc w:val="right"/>
              <w:rPr>
                <w:rFonts w:cs="Arial"/>
                <w:b/>
                <w:i/>
              </w:rPr>
            </w:pPr>
            <w:r w:rsidRPr="00F244A1">
              <w:rPr>
                <w:rFonts w:cs="Arial"/>
                <w:b/>
                <w:i/>
              </w:rPr>
              <w:t>9</w:t>
            </w:r>
            <w:r w:rsidR="00033F89">
              <w:rPr>
                <w:rFonts w:cs="Arial"/>
                <w:b/>
                <w:i/>
              </w:rPr>
              <w:t>,</w:t>
            </w:r>
            <w:r w:rsidR="00194D9C">
              <w:rPr>
                <w:rFonts w:cs="Arial"/>
                <w:b/>
                <w:i/>
              </w:rPr>
              <w:t>271</w:t>
            </w:r>
          </w:p>
        </w:tc>
        <w:tc>
          <w:tcPr>
            <w:tcW w:w="1316" w:type="dxa"/>
            <w:noWrap/>
            <w:vAlign w:val="bottom"/>
            <w:hideMark/>
          </w:tcPr>
          <w:p w14:paraId="1577EFE8" w14:textId="1DBBA41B" w:rsidR="00465972" w:rsidRPr="00F244A1" w:rsidRDefault="00194D9C" w:rsidP="00033F89">
            <w:pPr>
              <w:spacing w:line="240" w:lineRule="auto"/>
              <w:jc w:val="right"/>
              <w:rPr>
                <w:rFonts w:cs="Arial"/>
                <w:b/>
                <w:i/>
              </w:rPr>
            </w:pPr>
            <w:r>
              <w:rPr>
                <w:rFonts w:cs="Arial"/>
                <w:b/>
                <w:i/>
              </w:rPr>
              <w:t>9</w:t>
            </w:r>
            <w:r w:rsidR="00033F89">
              <w:rPr>
                <w:rFonts w:cs="Arial"/>
                <w:b/>
                <w:i/>
              </w:rPr>
              <w:t>,</w:t>
            </w:r>
            <w:r>
              <w:rPr>
                <w:rFonts w:cs="Arial"/>
                <w:b/>
                <w:i/>
              </w:rPr>
              <w:t>040</w:t>
            </w:r>
          </w:p>
        </w:tc>
        <w:tc>
          <w:tcPr>
            <w:tcW w:w="1319" w:type="dxa"/>
            <w:noWrap/>
            <w:vAlign w:val="bottom"/>
            <w:hideMark/>
          </w:tcPr>
          <w:p w14:paraId="353B5180" w14:textId="7B644C18" w:rsidR="00465972" w:rsidRPr="00F244A1" w:rsidRDefault="00194D9C" w:rsidP="00194D9C">
            <w:pPr>
              <w:spacing w:line="240" w:lineRule="auto"/>
              <w:jc w:val="right"/>
              <w:rPr>
                <w:rFonts w:cs="Arial"/>
                <w:b/>
                <w:i/>
              </w:rPr>
            </w:pPr>
            <w:r>
              <w:rPr>
                <w:rFonts w:cs="Arial"/>
                <w:b/>
                <w:i/>
              </w:rPr>
              <w:t>231</w:t>
            </w:r>
          </w:p>
        </w:tc>
        <w:tc>
          <w:tcPr>
            <w:tcW w:w="1134" w:type="dxa"/>
            <w:shd w:val="clear" w:color="auto" w:fill="D9D9D9" w:themeFill="background1" w:themeFillShade="D9"/>
            <w:vAlign w:val="bottom"/>
          </w:tcPr>
          <w:p w14:paraId="3FB27A82" w14:textId="5F9EA585" w:rsidR="00465972" w:rsidRPr="00FD005B" w:rsidRDefault="00B00E10" w:rsidP="00B00E10">
            <w:pPr>
              <w:spacing w:line="240" w:lineRule="auto"/>
              <w:jc w:val="right"/>
              <w:rPr>
                <w:rFonts w:cs="Arial"/>
                <w:b/>
                <w:i/>
                <w:color w:val="FF0000"/>
              </w:rPr>
            </w:pPr>
            <w:r w:rsidRPr="00B00E10">
              <w:rPr>
                <w:rFonts w:cs="Arial"/>
                <w:b/>
                <w:i/>
              </w:rPr>
              <w:t>79</w:t>
            </w:r>
          </w:p>
        </w:tc>
      </w:tr>
      <w:tr w:rsidR="00BE7115" w:rsidRPr="00AB2F9C" w14:paraId="68F62EC3" w14:textId="77777777" w:rsidTr="00B00E10">
        <w:trPr>
          <w:trHeight w:val="315"/>
        </w:trPr>
        <w:tc>
          <w:tcPr>
            <w:tcW w:w="3640" w:type="dxa"/>
            <w:tcBorders>
              <w:bottom w:val="nil"/>
            </w:tcBorders>
            <w:shd w:val="clear" w:color="auto" w:fill="B4C6E7" w:themeFill="accent5" w:themeFillTint="66"/>
            <w:noWrap/>
          </w:tcPr>
          <w:p w14:paraId="5245748B" w14:textId="77777777" w:rsidR="00BE7115" w:rsidRPr="00212006" w:rsidRDefault="00BE7115" w:rsidP="00BE7115">
            <w:pPr>
              <w:spacing w:line="240" w:lineRule="auto"/>
              <w:jc w:val="left"/>
              <w:rPr>
                <w:rFonts w:cs="Arial"/>
                <w:b/>
                <w:bCs/>
              </w:rPr>
            </w:pPr>
          </w:p>
          <w:p w14:paraId="4D94D1A9" w14:textId="77777777" w:rsidR="00BE7115" w:rsidRDefault="00BE7115" w:rsidP="00BE7115">
            <w:pPr>
              <w:spacing w:line="240" w:lineRule="auto"/>
              <w:jc w:val="left"/>
              <w:rPr>
                <w:rFonts w:cs="Arial"/>
                <w:b/>
                <w:bCs/>
                <w:sz w:val="24"/>
                <w:szCs w:val="24"/>
              </w:rPr>
            </w:pPr>
            <w:r>
              <w:rPr>
                <w:rFonts w:cs="Arial"/>
                <w:b/>
                <w:bCs/>
                <w:sz w:val="24"/>
                <w:szCs w:val="24"/>
              </w:rPr>
              <w:t xml:space="preserve">Month 5 </w:t>
            </w:r>
          </w:p>
          <w:p w14:paraId="4F9151DD" w14:textId="613C2014" w:rsidR="00BE7115" w:rsidRPr="00AB2F9C" w:rsidRDefault="00BE7115" w:rsidP="00BE7115">
            <w:pPr>
              <w:spacing w:line="240" w:lineRule="auto"/>
              <w:jc w:val="left"/>
              <w:rPr>
                <w:rFonts w:cs="Arial"/>
                <w:b/>
                <w:bCs/>
              </w:rPr>
            </w:pPr>
            <w:r w:rsidRPr="00AA795C">
              <w:rPr>
                <w:rFonts w:cs="Arial"/>
                <w:b/>
                <w:bCs/>
                <w:sz w:val="24"/>
                <w:szCs w:val="24"/>
              </w:rPr>
              <w:t xml:space="preserve">Budget Summary </w:t>
            </w:r>
          </w:p>
        </w:tc>
        <w:tc>
          <w:tcPr>
            <w:tcW w:w="1316" w:type="dxa"/>
            <w:tcBorders>
              <w:bottom w:val="nil"/>
            </w:tcBorders>
            <w:shd w:val="clear" w:color="auto" w:fill="B4C6E7" w:themeFill="accent5" w:themeFillTint="66"/>
            <w:noWrap/>
          </w:tcPr>
          <w:p w14:paraId="5AA77761" w14:textId="77777777" w:rsidR="00BE7115" w:rsidRPr="00212006" w:rsidRDefault="00BE7115" w:rsidP="00112895">
            <w:pPr>
              <w:spacing w:line="240" w:lineRule="auto"/>
              <w:jc w:val="center"/>
              <w:rPr>
                <w:rFonts w:cs="Arial"/>
                <w:b/>
                <w:bCs/>
              </w:rPr>
            </w:pPr>
            <w:r w:rsidRPr="00212006">
              <w:rPr>
                <w:rFonts w:cs="Arial"/>
                <w:b/>
                <w:bCs/>
              </w:rPr>
              <w:t>2017/18</w:t>
            </w:r>
          </w:p>
          <w:p w14:paraId="659BB574" w14:textId="77777777" w:rsidR="00BE7115" w:rsidRPr="00212006" w:rsidRDefault="00BE7115" w:rsidP="00112895">
            <w:pPr>
              <w:spacing w:line="240" w:lineRule="auto"/>
              <w:jc w:val="center"/>
              <w:rPr>
                <w:rFonts w:cs="Arial"/>
                <w:b/>
                <w:bCs/>
              </w:rPr>
            </w:pPr>
            <w:r w:rsidRPr="00212006">
              <w:rPr>
                <w:rFonts w:cs="Arial"/>
                <w:b/>
                <w:bCs/>
              </w:rPr>
              <w:t>Full Year</w:t>
            </w:r>
          </w:p>
          <w:p w14:paraId="218D0E97" w14:textId="77777777" w:rsidR="00BE7115" w:rsidRPr="00212006" w:rsidRDefault="00BE7115" w:rsidP="00112895">
            <w:pPr>
              <w:spacing w:line="240" w:lineRule="auto"/>
              <w:jc w:val="center"/>
              <w:rPr>
                <w:rFonts w:cs="Arial"/>
                <w:b/>
                <w:bCs/>
              </w:rPr>
            </w:pPr>
            <w:r w:rsidRPr="00212006">
              <w:rPr>
                <w:rFonts w:cs="Arial"/>
                <w:b/>
                <w:bCs/>
              </w:rPr>
              <w:t>Budget</w:t>
            </w:r>
          </w:p>
          <w:p w14:paraId="14FE705E" w14:textId="3B757C77" w:rsidR="00BE7115" w:rsidRPr="00AB2F9C" w:rsidRDefault="00BE7115" w:rsidP="00112895">
            <w:pPr>
              <w:spacing w:line="240" w:lineRule="auto"/>
              <w:jc w:val="center"/>
              <w:rPr>
                <w:rFonts w:cs="Arial"/>
              </w:rPr>
            </w:pPr>
            <w:r w:rsidRPr="00212006">
              <w:rPr>
                <w:rFonts w:cs="Arial"/>
                <w:b/>
                <w:bCs/>
                <w:sz w:val="20"/>
                <w:szCs w:val="20"/>
              </w:rPr>
              <w:t>(excluding recharges)</w:t>
            </w:r>
          </w:p>
        </w:tc>
        <w:tc>
          <w:tcPr>
            <w:tcW w:w="1316" w:type="dxa"/>
            <w:tcBorders>
              <w:bottom w:val="nil"/>
            </w:tcBorders>
            <w:shd w:val="clear" w:color="auto" w:fill="B4C6E7" w:themeFill="accent5" w:themeFillTint="66"/>
            <w:noWrap/>
          </w:tcPr>
          <w:p w14:paraId="2534B141" w14:textId="77777777" w:rsidR="00BE7115" w:rsidRPr="00212006" w:rsidRDefault="00BE7115" w:rsidP="00112895">
            <w:pPr>
              <w:spacing w:line="240" w:lineRule="auto"/>
              <w:jc w:val="center"/>
              <w:rPr>
                <w:rFonts w:cs="Arial"/>
                <w:b/>
                <w:bCs/>
              </w:rPr>
            </w:pPr>
            <w:r w:rsidRPr="00212006">
              <w:rPr>
                <w:rFonts w:cs="Arial"/>
                <w:b/>
                <w:bCs/>
              </w:rPr>
              <w:t>2017/18</w:t>
            </w:r>
          </w:p>
          <w:p w14:paraId="7180E426" w14:textId="77777777" w:rsidR="00BE7115" w:rsidRPr="00212006" w:rsidRDefault="00BE7115" w:rsidP="00112895">
            <w:pPr>
              <w:spacing w:line="240" w:lineRule="auto"/>
              <w:jc w:val="center"/>
              <w:rPr>
                <w:rFonts w:cs="Arial"/>
                <w:b/>
                <w:bCs/>
              </w:rPr>
            </w:pPr>
            <w:r w:rsidRPr="00212006">
              <w:rPr>
                <w:rFonts w:cs="Arial"/>
                <w:b/>
                <w:bCs/>
              </w:rPr>
              <w:t>Profiled</w:t>
            </w:r>
          </w:p>
          <w:p w14:paraId="78BD8854" w14:textId="77777777" w:rsidR="00BE7115" w:rsidRPr="00212006" w:rsidRDefault="00BE7115" w:rsidP="00112895">
            <w:pPr>
              <w:spacing w:line="240" w:lineRule="auto"/>
              <w:jc w:val="center"/>
              <w:rPr>
                <w:rFonts w:cs="Arial"/>
                <w:b/>
                <w:bCs/>
              </w:rPr>
            </w:pPr>
            <w:r w:rsidRPr="00212006">
              <w:rPr>
                <w:rFonts w:cs="Arial"/>
                <w:b/>
                <w:bCs/>
              </w:rPr>
              <w:t>Budget</w:t>
            </w:r>
          </w:p>
          <w:p w14:paraId="00297AE7" w14:textId="17966D52" w:rsidR="00BE7115" w:rsidRPr="00FD005B" w:rsidRDefault="00BE7115" w:rsidP="00112895">
            <w:pPr>
              <w:spacing w:line="240" w:lineRule="auto"/>
              <w:jc w:val="center"/>
              <w:rPr>
                <w:rFonts w:cs="Arial"/>
                <w:color w:val="FF0000"/>
              </w:rPr>
            </w:pPr>
            <w:r w:rsidRPr="00212006">
              <w:rPr>
                <w:rFonts w:cs="Arial"/>
                <w:b/>
                <w:bCs/>
              </w:rPr>
              <w:t xml:space="preserve">to </w:t>
            </w:r>
            <w:r w:rsidR="002479CA">
              <w:rPr>
                <w:rFonts w:cs="Arial"/>
                <w:b/>
                <w:bCs/>
              </w:rPr>
              <w:t>September</w:t>
            </w:r>
          </w:p>
        </w:tc>
        <w:tc>
          <w:tcPr>
            <w:tcW w:w="1316" w:type="dxa"/>
            <w:tcBorders>
              <w:bottom w:val="nil"/>
            </w:tcBorders>
            <w:shd w:val="clear" w:color="auto" w:fill="B4C6E7" w:themeFill="accent5" w:themeFillTint="66"/>
            <w:noWrap/>
          </w:tcPr>
          <w:p w14:paraId="6E9CD0DE" w14:textId="77777777" w:rsidR="00BE7115" w:rsidRPr="00212006" w:rsidRDefault="00BE7115" w:rsidP="00112895">
            <w:pPr>
              <w:spacing w:line="240" w:lineRule="auto"/>
              <w:jc w:val="center"/>
              <w:rPr>
                <w:rFonts w:cs="Arial"/>
                <w:b/>
                <w:bCs/>
              </w:rPr>
            </w:pPr>
          </w:p>
          <w:p w14:paraId="525C9E99" w14:textId="118C6683" w:rsidR="00BE7115" w:rsidRPr="00FD005B" w:rsidRDefault="00BE7115" w:rsidP="00112895">
            <w:pPr>
              <w:spacing w:line="240" w:lineRule="auto"/>
              <w:jc w:val="center"/>
              <w:rPr>
                <w:rFonts w:cs="Arial"/>
                <w:color w:val="FF0000"/>
              </w:rPr>
            </w:pPr>
            <w:r w:rsidRPr="00212006">
              <w:rPr>
                <w:rFonts w:cs="Arial"/>
                <w:b/>
                <w:bCs/>
              </w:rPr>
              <w:t xml:space="preserve">Actual to </w:t>
            </w:r>
            <w:r w:rsidR="002479CA">
              <w:rPr>
                <w:rFonts w:cs="Arial"/>
                <w:b/>
                <w:bCs/>
              </w:rPr>
              <w:t>September</w:t>
            </w:r>
          </w:p>
        </w:tc>
        <w:tc>
          <w:tcPr>
            <w:tcW w:w="1319" w:type="dxa"/>
            <w:tcBorders>
              <w:bottom w:val="nil"/>
            </w:tcBorders>
            <w:shd w:val="clear" w:color="auto" w:fill="B4C6E7" w:themeFill="accent5" w:themeFillTint="66"/>
            <w:noWrap/>
          </w:tcPr>
          <w:p w14:paraId="2792A338" w14:textId="77777777" w:rsidR="00BE7115" w:rsidRPr="00212006" w:rsidRDefault="00BE7115" w:rsidP="00112895">
            <w:pPr>
              <w:spacing w:line="240" w:lineRule="auto"/>
              <w:jc w:val="center"/>
              <w:rPr>
                <w:rFonts w:cs="Arial"/>
                <w:b/>
                <w:bCs/>
              </w:rPr>
            </w:pPr>
          </w:p>
          <w:p w14:paraId="3F8C55A3" w14:textId="77777777" w:rsidR="00BE7115" w:rsidRPr="00212006" w:rsidRDefault="00BE7115" w:rsidP="00112895">
            <w:pPr>
              <w:spacing w:line="240" w:lineRule="auto"/>
              <w:jc w:val="center"/>
              <w:rPr>
                <w:rFonts w:cs="Arial"/>
                <w:b/>
                <w:bCs/>
              </w:rPr>
            </w:pPr>
            <w:r w:rsidRPr="00212006">
              <w:rPr>
                <w:rFonts w:cs="Arial"/>
                <w:b/>
                <w:bCs/>
              </w:rPr>
              <w:t>Variance</w:t>
            </w:r>
          </w:p>
          <w:p w14:paraId="05BE3432" w14:textId="77777777" w:rsidR="00BE7115" w:rsidRPr="00212006" w:rsidRDefault="00BE7115" w:rsidP="00112895">
            <w:pPr>
              <w:spacing w:line="240" w:lineRule="auto"/>
              <w:jc w:val="center"/>
              <w:rPr>
                <w:rFonts w:cs="Arial"/>
                <w:b/>
                <w:bCs/>
              </w:rPr>
            </w:pPr>
            <w:r w:rsidRPr="00212006">
              <w:rPr>
                <w:rFonts w:cs="Arial"/>
                <w:b/>
                <w:bCs/>
              </w:rPr>
              <w:t>Under/ (over)</w:t>
            </w:r>
          </w:p>
          <w:p w14:paraId="463D33A4" w14:textId="6CE51DCE" w:rsidR="00BE7115" w:rsidRPr="00FD005B" w:rsidRDefault="00BE7115" w:rsidP="00112895">
            <w:pPr>
              <w:spacing w:line="240" w:lineRule="auto"/>
              <w:jc w:val="center"/>
              <w:rPr>
                <w:rFonts w:cs="Arial"/>
                <w:color w:val="FF0000"/>
              </w:rPr>
            </w:pPr>
            <w:r w:rsidRPr="00212006">
              <w:rPr>
                <w:rFonts w:cs="Arial"/>
                <w:b/>
                <w:bCs/>
              </w:rPr>
              <w:t>spend</w:t>
            </w:r>
          </w:p>
        </w:tc>
        <w:tc>
          <w:tcPr>
            <w:tcW w:w="1134" w:type="dxa"/>
            <w:tcBorders>
              <w:bottom w:val="nil"/>
            </w:tcBorders>
            <w:shd w:val="clear" w:color="auto" w:fill="A6A6A6" w:themeFill="background1" w:themeFillShade="A6"/>
          </w:tcPr>
          <w:p w14:paraId="2CB55828" w14:textId="77777777" w:rsidR="00BE7115" w:rsidRPr="00212006" w:rsidRDefault="00BE7115" w:rsidP="00112895">
            <w:pPr>
              <w:spacing w:line="240" w:lineRule="auto"/>
              <w:jc w:val="center"/>
              <w:rPr>
                <w:rFonts w:cs="Arial"/>
                <w:b/>
                <w:bCs/>
              </w:rPr>
            </w:pPr>
          </w:p>
          <w:p w14:paraId="34F2FD8F" w14:textId="4403B4CC" w:rsidR="00BE7115" w:rsidRPr="00FD005B" w:rsidRDefault="00BE7115" w:rsidP="00112895">
            <w:pPr>
              <w:spacing w:line="240" w:lineRule="auto"/>
              <w:jc w:val="center"/>
              <w:rPr>
                <w:rFonts w:cs="Arial"/>
                <w:color w:val="FF0000"/>
              </w:rPr>
            </w:pPr>
            <w:r w:rsidRPr="00212006">
              <w:rPr>
                <w:rFonts w:cs="Arial"/>
                <w:b/>
                <w:bCs/>
              </w:rPr>
              <w:t>Forecast outturn Variance</w:t>
            </w:r>
          </w:p>
        </w:tc>
      </w:tr>
      <w:tr w:rsidR="00BE7115" w:rsidRPr="00AB2F9C" w14:paraId="2E2B5ED5" w14:textId="77777777" w:rsidTr="00B00E10">
        <w:trPr>
          <w:trHeight w:val="315"/>
        </w:trPr>
        <w:tc>
          <w:tcPr>
            <w:tcW w:w="3640" w:type="dxa"/>
            <w:tcBorders>
              <w:top w:val="nil"/>
            </w:tcBorders>
            <w:shd w:val="clear" w:color="auto" w:fill="B4C6E7" w:themeFill="accent5" w:themeFillTint="66"/>
            <w:noWrap/>
          </w:tcPr>
          <w:p w14:paraId="30FBD136" w14:textId="5D3BCDC6" w:rsidR="00BE7115" w:rsidRPr="00AB2F9C" w:rsidRDefault="00BE7115" w:rsidP="00BE7115">
            <w:pPr>
              <w:spacing w:line="240" w:lineRule="auto"/>
              <w:jc w:val="left"/>
              <w:rPr>
                <w:rFonts w:cs="Arial"/>
                <w:b/>
                <w:bCs/>
              </w:rPr>
            </w:pPr>
            <w:r w:rsidRPr="00AB2F9C">
              <w:rPr>
                <w:rFonts w:cs="Arial"/>
                <w:b/>
                <w:bCs/>
              </w:rPr>
              <w:t>Directorate</w:t>
            </w:r>
          </w:p>
        </w:tc>
        <w:tc>
          <w:tcPr>
            <w:tcW w:w="1316" w:type="dxa"/>
            <w:tcBorders>
              <w:top w:val="nil"/>
            </w:tcBorders>
            <w:shd w:val="clear" w:color="auto" w:fill="B4C6E7" w:themeFill="accent5" w:themeFillTint="66"/>
            <w:noWrap/>
          </w:tcPr>
          <w:p w14:paraId="4795E20D" w14:textId="5A5212B3" w:rsidR="00BE7115" w:rsidRPr="00AB2F9C" w:rsidRDefault="00BE7115" w:rsidP="00112895">
            <w:pPr>
              <w:spacing w:line="240" w:lineRule="auto"/>
              <w:jc w:val="center"/>
              <w:rPr>
                <w:rFonts w:cs="Arial"/>
              </w:rPr>
            </w:pPr>
            <w:r w:rsidRPr="00212006">
              <w:rPr>
                <w:rFonts w:cs="Arial"/>
                <w:b/>
                <w:bCs/>
              </w:rPr>
              <w:t>£000</w:t>
            </w:r>
          </w:p>
        </w:tc>
        <w:tc>
          <w:tcPr>
            <w:tcW w:w="1316" w:type="dxa"/>
            <w:tcBorders>
              <w:top w:val="nil"/>
            </w:tcBorders>
            <w:shd w:val="clear" w:color="auto" w:fill="B4C6E7" w:themeFill="accent5" w:themeFillTint="66"/>
            <w:noWrap/>
          </w:tcPr>
          <w:p w14:paraId="5C0DF9F7" w14:textId="19A43AD7" w:rsidR="00BE7115" w:rsidRPr="00FD005B" w:rsidRDefault="00BE7115" w:rsidP="00112895">
            <w:pPr>
              <w:spacing w:line="240" w:lineRule="auto"/>
              <w:jc w:val="center"/>
              <w:rPr>
                <w:rFonts w:cs="Arial"/>
                <w:color w:val="FF0000"/>
              </w:rPr>
            </w:pPr>
            <w:r w:rsidRPr="00212006">
              <w:rPr>
                <w:rFonts w:cs="Arial"/>
                <w:b/>
                <w:bCs/>
              </w:rPr>
              <w:t>£000</w:t>
            </w:r>
          </w:p>
        </w:tc>
        <w:tc>
          <w:tcPr>
            <w:tcW w:w="1316" w:type="dxa"/>
            <w:tcBorders>
              <w:top w:val="nil"/>
            </w:tcBorders>
            <w:shd w:val="clear" w:color="auto" w:fill="B4C6E7" w:themeFill="accent5" w:themeFillTint="66"/>
            <w:noWrap/>
          </w:tcPr>
          <w:p w14:paraId="1F3B727E" w14:textId="4C720D77" w:rsidR="00BE7115" w:rsidRPr="00FD005B" w:rsidRDefault="00BE7115" w:rsidP="00112895">
            <w:pPr>
              <w:spacing w:line="240" w:lineRule="auto"/>
              <w:jc w:val="center"/>
              <w:rPr>
                <w:rFonts w:cs="Arial"/>
                <w:color w:val="FF0000"/>
              </w:rPr>
            </w:pPr>
            <w:r w:rsidRPr="00212006">
              <w:rPr>
                <w:rFonts w:cs="Arial"/>
                <w:b/>
                <w:bCs/>
              </w:rPr>
              <w:t>£000</w:t>
            </w:r>
          </w:p>
        </w:tc>
        <w:tc>
          <w:tcPr>
            <w:tcW w:w="1319" w:type="dxa"/>
            <w:tcBorders>
              <w:top w:val="nil"/>
            </w:tcBorders>
            <w:shd w:val="clear" w:color="auto" w:fill="B4C6E7" w:themeFill="accent5" w:themeFillTint="66"/>
            <w:noWrap/>
          </w:tcPr>
          <w:p w14:paraId="46A4059E" w14:textId="4E7B7362" w:rsidR="00BE7115" w:rsidRPr="00FD005B" w:rsidRDefault="00BE7115" w:rsidP="00112895">
            <w:pPr>
              <w:spacing w:line="240" w:lineRule="auto"/>
              <w:jc w:val="center"/>
              <w:rPr>
                <w:rFonts w:cs="Arial"/>
                <w:color w:val="FF0000"/>
              </w:rPr>
            </w:pPr>
            <w:r w:rsidRPr="00212006">
              <w:rPr>
                <w:rFonts w:cs="Arial"/>
                <w:b/>
                <w:bCs/>
              </w:rPr>
              <w:t>£000</w:t>
            </w:r>
          </w:p>
        </w:tc>
        <w:tc>
          <w:tcPr>
            <w:tcW w:w="1134" w:type="dxa"/>
            <w:tcBorders>
              <w:top w:val="nil"/>
            </w:tcBorders>
            <w:shd w:val="clear" w:color="auto" w:fill="A6A6A6" w:themeFill="background1" w:themeFillShade="A6"/>
          </w:tcPr>
          <w:p w14:paraId="1D7860EE" w14:textId="710658AE" w:rsidR="00BE7115" w:rsidRPr="00FD005B" w:rsidRDefault="00BE7115" w:rsidP="00112895">
            <w:pPr>
              <w:spacing w:line="240" w:lineRule="auto"/>
              <w:jc w:val="center"/>
              <w:rPr>
                <w:rFonts w:cs="Arial"/>
                <w:color w:val="FF0000"/>
              </w:rPr>
            </w:pPr>
            <w:r w:rsidRPr="00212006">
              <w:rPr>
                <w:rFonts w:cs="Arial"/>
                <w:b/>
                <w:bCs/>
              </w:rPr>
              <w:t>£000</w:t>
            </w:r>
          </w:p>
        </w:tc>
      </w:tr>
      <w:tr w:rsidR="00BE7115" w:rsidRPr="00AB2F9C" w14:paraId="7590E830" w14:textId="77777777" w:rsidTr="00B00E10">
        <w:trPr>
          <w:trHeight w:val="315"/>
        </w:trPr>
        <w:tc>
          <w:tcPr>
            <w:tcW w:w="3640" w:type="dxa"/>
            <w:noWrap/>
            <w:vAlign w:val="bottom"/>
            <w:hideMark/>
          </w:tcPr>
          <w:p w14:paraId="117773A4" w14:textId="77777777" w:rsidR="00BE7115" w:rsidRPr="00AB2F9C" w:rsidRDefault="00BE7115" w:rsidP="00BE7115">
            <w:pPr>
              <w:spacing w:line="240" w:lineRule="auto"/>
              <w:jc w:val="left"/>
              <w:rPr>
                <w:rFonts w:cs="Arial"/>
                <w:b/>
                <w:bCs/>
              </w:rPr>
            </w:pPr>
            <w:r w:rsidRPr="00AB2F9C">
              <w:rPr>
                <w:rFonts w:cs="Arial"/>
                <w:b/>
                <w:bCs/>
              </w:rPr>
              <w:t>Funding:</w:t>
            </w:r>
          </w:p>
        </w:tc>
        <w:tc>
          <w:tcPr>
            <w:tcW w:w="1316" w:type="dxa"/>
            <w:noWrap/>
            <w:vAlign w:val="bottom"/>
          </w:tcPr>
          <w:p w14:paraId="2E9C1C4B" w14:textId="77777777" w:rsidR="00BE7115" w:rsidRPr="00AB2F9C" w:rsidRDefault="00BE7115" w:rsidP="00BE7115">
            <w:pPr>
              <w:spacing w:line="240" w:lineRule="auto"/>
              <w:jc w:val="right"/>
              <w:rPr>
                <w:rFonts w:cs="Arial"/>
              </w:rPr>
            </w:pPr>
          </w:p>
        </w:tc>
        <w:tc>
          <w:tcPr>
            <w:tcW w:w="1316" w:type="dxa"/>
            <w:noWrap/>
            <w:vAlign w:val="bottom"/>
          </w:tcPr>
          <w:p w14:paraId="35F62830" w14:textId="77777777" w:rsidR="00BE7115" w:rsidRPr="00FD005B" w:rsidRDefault="00BE7115" w:rsidP="00BE7115">
            <w:pPr>
              <w:spacing w:line="240" w:lineRule="auto"/>
              <w:jc w:val="right"/>
              <w:rPr>
                <w:rFonts w:cs="Arial"/>
                <w:color w:val="FF0000"/>
              </w:rPr>
            </w:pPr>
          </w:p>
        </w:tc>
        <w:tc>
          <w:tcPr>
            <w:tcW w:w="1316" w:type="dxa"/>
            <w:noWrap/>
            <w:vAlign w:val="bottom"/>
          </w:tcPr>
          <w:p w14:paraId="3F708318" w14:textId="77777777" w:rsidR="00BE7115" w:rsidRPr="00FD005B" w:rsidRDefault="00BE7115" w:rsidP="00BE7115">
            <w:pPr>
              <w:spacing w:line="240" w:lineRule="auto"/>
              <w:jc w:val="right"/>
              <w:rPr>
                <w:rFonts w:cs="Arial"/>
                <w:color w:val="FF0000"/>
              </w:rPr>
            </w:pPr>
          </w:p>
        </w:tc>
        <w:tc>
          <w:tcPr>
            <w:tcW w:w="1319" w:type="dxa"/>
            <w:noWrap/>
            <w:vAlign w:val="bottom"/>
          </w:tcPr>
          <w:p w14:paraId="5A61F866" w14:textId="77777777" w:rsidR="00BE7115" w:rsidRPr="00FD005B" w:rsidRDefault="00BE7115" w:rsidP="00BE7115">
            <w:pPr>
              <w:spacing w:line="240" w:lineRule="auto"/>
              <w:jc w:val="right"/>
              <w:rPr>
                <w:rFonts w:cs="Arial"/>
                <w:color w:val="FF0000"/>
              </w:rPr>
            </w:pPr>
          </w:p>
        </w:tc>
        <w:tc>
          <w:tcPr>
            <w:tcW w:w="1134" w:type="dxa"/>
            <w:shd w:val="clear" w:color="auto" w:fill="D9D9D9" w:themeFill="background1" w:themeFillShade="D9"/>
            <w:vAlign w:val="bottom"/>
          </w:tcPr>
          <w:p w14:paraId="7B83423C" w14:textId="77777777" w:rsidR="00BE7115" w:rsidRPr="00FD005B" w:rsidRDefault="00BE7115" w:rsidP="00BE7115">
            <w:pPr>
              <w:spacing w:line="240" w:lineRule="auto"/>
              <w:jc w:val="right"/>
              <w:rPr>
                <w:rFonts w:cs="Arial"/>
                <w:color w:val="FF0000"/>
              </w:rPr>
            </w:pPr>
          </w:p>
        </w:tc>
      </w:tr>
      <w:tr w:rsidR="00BE7115" w:rsidRPr="00AB2F9C" w14:paraId="25D7418A" w14:textId="77777777" w:rsidTr="00B00E10">
        <w:trPr>
          <w:trHeight w:val="315"/>
        </w:trPr>
        <w:tc>
          <w:tcPr>
            <w:tcW w:w="3640" w:type="dxa"/>
            <w:noWrap/>
            <w:vAlign w:val="bottom"/>
            <w:hideMark/>
          </w:tcPr>
          <w:p w14:paraId="532864F5" w14:textId="77777777" w:rsidR="00BE7115" w:rsidRPr="00AB2F9C" w:rsidRDefault="00BE7115" w:rsidP="00BE7115">
            <w:pPr>
              <w:spacing w:line="240" w:lineRule="auto"/>
              <w:jc w:val="left"/>
              <w:rPr>
                <w:rFonts w:cs="Arial"/>
              </w:rPr>
            </w:pPr>
            <w:r w:rsidRPr="00AB2F9C">
              <w:rPr>
                <w:rFonts w:cs="Arial"/>
              </w:rPr>
              <w:t>Council Tax</w:t>
            </w:r>
          </w:p>
        </w:tc>
        <w:tc>
          <w:tcPr>
            <w:tcW w:w="1316" w:type="dxa"/>
            <w:noWrap/>
            <w:vAlign w:val="bottom"/>
            <w:hideMark/>
          </w:tcPr>
          <w:p w14:paraId="4FB5FE05" w14:textId="77777777" w:rsidR="00BE7115" w:rsidRPr="00AB2F9C" w:rsidRDefault="00BE7115" w:rsidP="00BE7115">
            <w:pPr>
              <w:spacing w:line="240" w:lineRule="auto"/>
              <w:jc w:val="right"/>
              <w:rPr>
                <w:rFonts w:cs="Arial"/>
              </w:rPr>
            </w:pPr>
            <w:r w:rsidRPr="00AB2F9C">
              <w:rPr>
                <w:rFonts w:cs="Arial"/>
              </w:rPr>
              <w:t>(7,896)</w:t>
            </w:r>
          </w:p>
        </w:tc>
        <w:tc>
          <w:tcPr>
            <w:tcW w:w="1316" w:type="dxa"/>
            <w:noWrap/>
            <w:vAlign w:val="bottom"/>
            <w:hideMark/>
          </w:tcPr>
          <w:p w14:paraId="13DED8B1" w14:textId="77777777" w:rsidR="00BE7115" w:rsidRPr="00F244A1" w:rsidRDefault="00BE7115" w:rsidP="00BE7115">
            <w:pPr>
              <w:spacing w:line="240" w:lineRule="auto"/>
              <w:jc w:val="right"/>
              <w:rPr>
                <w:rFonts w:cs="Arial"/>
              </w:rPr>
            </w:pPr>
            <w:r w:rsidRPr="00F244A1">
              <w:rPr>
                <w:rFonts w:cs="Arial"/>
              </w:rPr>
              <w:t>0</w:t>
            </w:r>
          </w:p>
        </w:tc>
        <w:tc>
          <w:tcPr>
            <w:tcW w:w="1316" w:type="dxa"/>
            <w:noWrap/>
            <w:vAlign w:val="bottom"/>
            <w:hideMark/>
          </w:tcPr>
          <w:p w14:paraId="672BADBA" w14:textId="77777777" w:rsidR="00BE7115" w:rsidRPr="00F244A1" w:rsidRDefault="00BE7115" w:rsidP="00BE7115">
            <w:pPr>
              <w:spacing w:line="240" w:lineRule="auto"/>
              <w:jc w:val="right"/>
              <w:rPr>
                <w:rFonts w:cs="Arial"/>
              </w:rPr>
            </w:pPr>
            <w:r w:rsidRPr="00F244A1">
              <w:rPr>
                <w:rFonts w:cs="Arial"/>
              </w:rPr>
              <w:t>0</w:t>
            </w:r>
          </w:p>
        </w:tc>
        <w:tc>
          <w:tcPr>
            <w:tcW w:w="1319" w:type="dxa"/>
            <w:noWrap/>
            <w:vAlign w:val="bottom"/>
            <w:hideMark/>
          </w:tcPr>
          <w:p w14:paraId="11B4B7F4" w14:textId="77777777" w:rsidR="00BE7115" w:rsidRPr="00F244A1" w:rsidRDefault="00BE7115" w:rsidP="00BE7115">
            <w:pPr>
              <w:spacing w:line="240" w:lineRule="auto"/>
              <w:jc w:val="right"/>
              <w:rPr>
                <w:rFonts w:cs="Arial"/>
              </w:rPr>
            </w:pPr>
            <w:r w:rsidRPr="00F244A1">
              <w:rPr>
                <w:rFonts w:cs="Arial"/>
              </w:rPr>
              <w:t>0</w:t>
            </w:r>
          </w:p>
        </w:tc>
        <w:tc>
          <w:tcPr>
            <w:tcW w:w="1134" w:type="dxa"/>
            <w:shd w:val="clear" w:color="auto" w:fill="D9D9D9" w:themeFill="background1" w:themeFillShade="D9"/>
            <w:vAlign w:val="bottom"/>
          </w:tcPr>
          <w:p w14:paraId="5D01B706" w14:textId="77777777" w:rsidR="00BE7115" w:rsidRPr="00FD005B" w:rsidRDefault="00BE7115" w:rsidP="00BE7115">
            <w:pPr>
              <w:spacing w:line="240" w:lineRule="auto"/>
              <w:jc w:val="right"/>
              <w:rPr>
                <w:rFonts w:cs="Arial"/>
                <w:color w:val="FF0000"/>
              </w:rPr>
            </w:pPr>
          </w:p>
        </w:tc>
      </w:tr>
      <w:tr w:rsidR="00BE7115" w:rsidRPr="00AB2F9C" w14:paraId="31A25421" w14:textId="77777777" w:rsidTr="00B00E10">
        <w:trPr>
          <w:trHeight w:val="315"/>
        </w:trPr>
        <w:tc>
          <w:tcPr>
            <w:tcW w:w="3640" w:type="dxa"/>
            <w:noWrap/>
            <w:vAlign w:val="bottom"/>
            <w:hideMark/>
          </w:tcPr>
          <w:p w14:paraId="4DFA153D" w14:textId="77777777" w:rsidR="00BE7115" w:rsidRPr="00AB2F9C" w:rsidRDefault="00BE7115" w:rsidP="00BE7115">
            <w:pPr>
              <w:spacing w:line="240" w:lineRule="auto"/>
              <w:jc w:val="left"/>
              <w:rPr>
                <w:rFonts w:cs="Arial"/>
              </w:rPr>
            </w:pPr>
            <w:r w:rsidRPr="00AB2F9C">
              <w:rPr>
                <w:rFonts w:cs="Arial"/>
              </w:rPr>
              <w:t>RSG</w:t>
            </w:r>
          </w:p>
        </w:tc>
        <w:tc>
          <w:tcPr>
            <w:tcW w:w="1316" w:type="dxa"/>
            <w:noWrap/>
            <w:vAlign w:val="bottom"/>
            <w:hideMark/>
          </w:tcPr>
          <w:p w14:paraId="0E0D914A" w14:textId="77777777" w:rsidR="00BE7115" w:rsidRPr="00AB2F9C" w:rsidRDefault="00BE7115" w:rsidP="00BE7115">
            <w:pPr>
              <w:spacing w:line="240" w:lineRule="auto"/>
              <w:jc w:val="right"/>
              <w:rPr>
                <w:rFonts w:cs="Arial"/>
              </w:rPr>
            </w:pPr>
            <w:r w:rsidRPr="00AB2F9C">
              <w:rPr>
                <w:rFonts w:cs="Arial"/>
              </w:rPr>
              <w:t>(346)</w:t>
            </w:r>
          </w:p>
        </w:tc>
        <w:tc>
          <w:tcPr>
            <w:tcW w:w="1316" w:type="dxa"/>
            <w:noWrap/>
            <w:vAlign w:val="bottom"/>
            <w:hideMark/>
          </w:tcPr>
          <w:p w14:paraId="398B8C57" w14:textId="12A9BB8D" w:rsidR="00BE7115" w:rsidRPr="00F244A1" w:rsidRDefault="00BE7115" w:rsidP="00990EDF">
            <w:pPr>
              <w:spacing w:line="240" w:lineRule="auto"/>
              <w:jc w:val="right"/>
              <w:rPr>
                <w:rFonts w:cs="Arial"/>
              </w:rPr>
            </w:pPr>
            <w:r w:rsidRPr="00F244A1">
              <w:rPr>
                <w:rFonts w:cs="Arial"/>
              </w:rPr>
              <w:t>(</w:t>
            </w:r>
            <w:r w:rsidR="00F244A1" w:rsidRPr="00F244A1">
              <w:rPr>
                <w:rFonts w:cs="Arial"/>
              </w:rPr>
              <w:t>1</w:t>
            </w:r>
            <w:r w:rsidR="00990EDF">
              <w:rPr>
                <w:rFonts w:cs="Arial"/>
              </w:rPr>
              <w:t>80</w:t>
            </w:r>
            <w:r w:rsidRPr="00F244A1">
              <w:rPr>
                <w:rFonts w:cs="Arial"/>
              </w:rPr>
              <w:t>)</w:t>
            </w:r>
          </w:p>
        </w:tc>
        <w:tc>
          <w:tcPr>
            <w:tcW w:w="1316" w:type="dxa"/>
            <w:noWrap/>
            <w:vAlign w:val="bottom"/>
            <w:hideMark/>
          </w:tcPr>
          <w:p w14:paraId="3993B1E2" w14:textId="1A986C1A" w:rsidR="00BE7115" w:rsidRPr="00F244A1" w:rsidRDefault="00BE7115" w:rsidP="00990EDF">
            <w:pPr>
              <w:spacing w:line="240" w:lineRule="auto"/>
              <w:jc w:val="right"/>
              <w:rPr>
                <w:rFonts w:cs="Arial"/>
              </w:rPr>
            </w:pPr>
            <w:r w:rsidRPr="00F244A1">
              <w:rPr>
                <w:rFonts w:cs="Arial"/>
              </w:rPr>
              <w:t>(</w:t>
            </w:r>
            <w:r w:rsidR="00F244A1" w:rsidRPr="00F244A1">
              <w:rPr>
                <w:rFonts w:cs="Arial"/>
              </w:rPr>
              <w:t>1</w:t>
            </w:r>
            <w:r w:rsidR="00990EDF">
              <w:rPr>
                <w:rFonts w:cs="Arial"/>
              </w:rPr>
              <w:t>80</w:t>
            </w:r>
            <w:r w:rsidRPr="00F244A1">
              <w:rPr>
                <w:rFonts w:cs="Arial"/>
              </w:rPr>
              <w:t>)</w:t>
            </w:r>
          </w:p>
        </w:tc>
        <w:tc>
          <w:tcPr>
            <w:tcW w:w="1319" w:type="dxa"/>
            <w:noWrap/>
            <w:vAlign w:val="bottom"/>
            <w:hideMark/>
          </w:tcPr>
          <w:p w14:paraId="721C017E" w14:textId="77777777" w:rsidR="00BE7115" w:rsidRPr="00F244A1" w:rsidRDefault="00BE7115" w:rsidP="00BE7115">
            <w:pPr>
              <w:spacing w:line="240" w:lineRule="auto"/>
              <w:jc w:val="right"/>
              <w:rPr>
                <w:rFonts w:cs="Arial"/>
              </w:rPr>
            </w:pPr>
            <w:r w:rsidRPr="00F244A1">
              <w:rPr>
                <w:rFonts w:cs="Arial"/>
              </w:rPr>
              <w:t>0</w:t>
            </w:r>
          </w:p>
        </w:tc>
        <w:tc>
          <w:tcPr>
            <w:tcW w:w="1134" w:type="dxa"/>
            <w:shd w:val="clear" w:color="auto" w:fill="D9D9D9" w:themeFill="background1" w:themeFillShade="D9"/>
            <w:vAlign w:val="bottom"/>
          </w:tcPr>
          <w:p w14:paraId="3772292C" w14:textId="77777777" w:rsidR="00BE7115" w:rsidRPr="00FD005B" w:rsidRDefault="00BE7115" w:rsidP="00BE7115">
            <w:pPr>
              <w:spacing w:line="240" w:lineRule="auto"/>
              <w:jc w:val="right"/>
              <w:rPr>
                <w:rFonts w:cs="Arial"/>
                <w:color w:val="FF0000"/>
              </w:rPr>
            </w:pPr>
          </w:p>
        </w:tc>
      </w:tr>
      <w:tr w:rsidR="00BE7115" w:rsidRPr="00AB2F9C" w14:paraId="2B58188F" w14:textId="77777777" w:rsidTr="00B00E10">
        <w:trPr>
          <w:trHeight w:val="315"/>
        </w:trPr>
        <w:tc>
          <w:tcPr>
            <w:tcW w:w="3640" w:type="dxa"/>
            <w:noWrap/>
            <w:vAlign w:val="bottom"/>
            <w:hideMark/>
          </w:tcPr>
          <w:p w14:paraId="3B8232FB" w14:textId="77777777" w:rsidR="00BE7115" w:rsidRPr="00AB2F9C" w:rsidRDefault="00BE7115" w:rsidP="00BE7115">
            <w:pPr>
              <w:spacing w:line="240" w:lineRule="auto"/>
              <w:jc w:val="left"/>
              <w:rPr>
                <w:rFonts w:cs="Arial"/>
              </w:rPr>
            </w:pPr>
            <w:r w:rsidRPr="00AB2F9C">
              <w:rPr>
                <w:rFonts w:cs="Arial"/>
              </w:rPr>
              <w:t>Transition Grant</w:t>
            </w:r>
          </w:p>
        </w:tc>
        <w:tc>
          <w:tcPr>
            <w:tcW w:w="1316" w:type="dxa"/>
            <w:noWrap/>
            <w:vAlign w:val="bottom"/>
            <w:hideMark/>
          </w:tcPr>
          <w:p w14:paraId="0CEA9B7B" w14:textId="77777777" w:rsidR="00BE7115" w:rsidRPr="00AB2F9C" w:rsidRDefault="00BE7115" w:rsidP="00BE7115">
            <w:pPr>
              <w:spacing w:line="240" w:lineRule="auto"/>
              <w:jc w:val="right"/>
              <w:rPr>
                <w:rFonts w:cs="Arial"/>
              </w:rPr>
            </w:pPr>
            <w:r w:rsidRPr="00AB2F9C">
              <w:rPr>
                <w:rFonts w:cs="Arial"/>
              </w:rPr>
              <w:t>(92)</w:t>
            </w:r>
          </w:p>
        </w:tc>
        <w:tc>
          <w:tcPr>
            <w:tcW w:w="1316" w:type="dxa"/>
            <w:noWrap/>
            <w:vAlign w:val="bottom"/>
            <w:hideMark/>
          </w:tcPr>
          <w:p w14:paraId="1F5B7E6D" w14:textId="69F1E954" w:rsidR="00BE7115" w:rsidRPr="00043848" w:rsidRDefault="00BE7115" w:rsidP="00990EDF">
            <w:pPr>
              <w:spacing w:line="240" w:lineRule="auto"/>
              <w:jc w:val="right"/>
              <w:rPr>
                <w:rFonts w:cs="Arial"/>
              </w:rPr>
            </w:pPr>
            <w:r w:rsidRPr="00043848">
              <w:rPr>
                <w:rFonts w:cs="Arial"/>
              </w:rPr>
              <w:t>(</w:t>
            </w:r>
            <w:r w:rsidR="00990EDF">
              <w:rPr>
                <w:rFonts w:cs="Arial"/>
              </w:rPr>
              <w:t>46</w:t>
            </w:r>
            <w:r w:rsidRPr="00043848">
              <w:rPr>
                <w:rFonts w:cs="Arial"/>
              </w:rPr>
              <w:t>)</w:t>
            </w:r>
          </w:p>
        </w:tc>
        <w:tc>
          <w:tcPr>
            <w:tcW w:w="1316" w:type="dxa"/>
            <w:noWrap/>
            <w:vAlign w:val="bottom"/>
            <w:hideMark/>
          </w:tcPr>
          <w:p w14:paraId="140DCCAE" w14:textId="086C74FA" w:rsidR="00BE7115" w:rsidRPr="00043848" w:rsidRDefault="00BE7115" w:rsidP="00990EDF">
            <w:pPr>
              <w:spacing w:line="240" w:lineRule="auto"/>
              <w:jc w:val="right"/>
              <w:rPr>
                <w:rFonts w:cs="Arial"/>
              </w:rPr>
            </w:pPr>
            <w:r w:rsidRPr="00043848">
              <w:rPr>
                <w:rFonts w:cs="Arial"/>
              </w:rPr>
              <w:t>(</w:t>
            </w:r>
            <w:r w:rsidR="00990EDF">
              <w:rPr>
                <w:rFonts w:cs="Arial"/>
              </w:rPr>
              <w:t>46</w:t>
            </w:r>
            <w:r w:rsidRPr="00043848">
              <w:rPr>
                <w:rFonts w:cs="Arial"/>
              </w:rPr>
              <w:t>)</w:t>
            </w:r>
          </w:p>
        </w:tc>
        <w:tc>
          <w:tcPr>
            <w:tcW w:w="1319" w:type="dxa"/>
            <w:noWrap/>
            <w:vAlign w:val="bottom"/>
            <w:hideMark/>
          </w:tcPr>
          <w:p w14:paraId="7071E1B6" w14:textId="77777777" w:rsidR="00BE7115" w:rsidRPr="00465327" w:rsidRDefault="00BE7115" w:rsidP="00BE7115">
            <w:pPr>
              <w:spacing w:line="240" w:lineRule="auto"/>
              <w:jc w:val="right"/>
              <w:rPr>
                <w:rFonts w:cs="Arial"/>
              </w:rPr>
            </w:pPr>
            <w:r w:rsidRPr="00465327">
              <w:rPr>
                <w:rFonts w:cs="Arial"/>
              </w:rPr>
              <w:t>0</w:t>
            </w:r>
          </w:p>
        </w:tc>
        <w:tc>
          <w:tcPr>
            <w:tcW w:w="1134" w:type="dxa"/>
            <w:shd w:val="clear" w:color="auto" w:fill="D9D9D9" w:themeFill="background1" w:themeFillShade="D9"/>
            <w:vAlign w:val="bottom"/>
          </w:tcPr>
          <w:p w14:paraId="5BECED4A" w14:textId="77777777" w:rsidR="00BE7115" w:rsidRPr="00465327" w:rsidRDefault="00BE7115" w:rsidP="00BE7115">
            <w:pPr>
              <w:spacing w:line="240" w:lineRule="auto"/>
              <w:jc w:val="right"/>
              <w:rPr>
                <w:rFonts w:cs="Arial"/>
              </w:rPr>
            </w:pPr>
          </w:p>
        </w:tc>
      </w:tr>
      <w:tr w:rsidR="00BE7115" w:rsidRPr="00AB2F9C" w14:paraId="256C8699" w14:textId="77777777" w:rsidTr="00B00E10">
        <w:trPr>
          <w:trHeight w:val="315"/>
        </w:trPr>
        <w:tc>
          <w:tcPr>
            <w:tcW w:w="3640" w:type="dxa"/>
            <w:noWrap/>
            <w:vAlign w:val="bottom"/>
            <w:hideMark/>
          </w:tcPr>
          <w:p w14:paraId="6DB2F645" w14:textId="77777777" w:rsidR="00BE7115" w:rsidRPr="00AB2F9C" w:rsidRDefault="00BE7115" w:rsidP="00BE7115">
            <w:pPr>
              <w:spacing w:line="240" w:lineRule="auto"/>
              <w:jc w:val="left"/>
              <w:rPr>
                <w:rFonts w:cs="Arial"/>
              </w:rPr>
            </w:pPr>
            <w:r w:rsidRPr="00AB2F9C">
              <w:rPr>
                <w:rFonts w:cs="Arial"/>
              </w:rPr>
              <w:t>New Homes Bonus</w:t>
            </w:r>
            <w:r>
              <w:rPr>
                <w:rFonts w:cs="Arial"/>
              </w:rPr>
              <w:t xml:space="preserve"> </w:t>
            </w:r>
            <w:r w:rsidRPr="000C5A3F">
              <w:rPr>
                <w:rFonts w:cs="Arial"/>
                <w:i/>
                <w:sz w:val="20"/>
                <w:szCs w:val="20"/>
              </w:rPr>
              <w:t>(incl. City Deal)</w:t>
            </w:r>
          </w:p>
        </w:tc>
        <w:tc>
          <w:tcPr>
            <w:tcW w:w="1316" w:type="dxa"/>
            <w:noWrap/>
            <w:vAlign w:val="bottom"/>
            <w:hideMark/>
          </w:tcPr>
          <w:p w14:paraId="059EAA7C" w14:textId="77777777" w:rsidR="00BE7115" w:rsidRPr="00AB2F9C" w:rsidRDefault="00BE7115" w:rsidP="00BE7115">
            <w:pPr>
              <w:spacing w:line="240" w:lineRule="auto"/>
              <w:jc w:val="right"/>
              <w:rPr>
                <w:rFonts w:cs="Arial"/>
              </w:rPr>
            </w:pPr>
            <w:r w:rsidRPr="00AB2F9C">
              <w:rPr>
                <w:rFonts w:cs="Arial"/>
              </w:rPr>
              <w:t>(1,646)</w:t>
            </w:r>
          </w:p>
        </w:tc>
        <w:tc>
          <w:tcPr>
            <w:tcW w:w="1316" w:type="dxa"/>
            <w:noWrap/>
            <w:vAlign w:val="bottom"/>
            <w:hideMark/>
          </w:tcPr>
          <w:p w14:paraId="32FEFC70" w14:textId="6DB4DE67" w:rsidR="00BE7115" w:rsidRPr="00465327" w:rsidRDefault="00BE7115" w:rsidP="00465327">
            <w:pPr>
              <w:spacing w:line="240" w:lineRule="auto"/>
              <w:jc w:val="right"/>
              <w:rPr>
                <w:rFonts w:cs="Arial"/>
              </w:rPr>
            </w:pPr>
            <w:r w:rsidRPr="00465327">
              <w:rPr>
                <w:rFonts w:cs="Arial"/>
              </w:rPr>
              <w:t>(</w:t>
            </w:r>
            <w:r w:rsidR="00465327" w:rsidRPr="00465327">
              <w:rPr>
                <w:rFonts w:cs="Arial"/>
              </w:rPr>
              <w:t>832</w:t>
            </w:r>
            <w:r w:rsidRPr="00465327">
              <w:rPr>
                <w:rFonts w:cs="Arial"/>
              </w:rPr>
              <w:t>)</w:t>
            </w:r>
          </w:p>
        </w:tc>
        <w:tc>
          <w:tcPr>
            <w:tcW w:w="1316" w:type="dxa"/>
            <w:noWrap/>
            <w:vAlign w:val="bottom"/>
            <w:hideMark/>
          </w:tcPr>
          <w:p w14:paraId="7B2720A9" w14:textId="73323973" w:rsidR="00BE7115" w:rsidRPr="00465327" w:rsidRDefault="00BE7115" w:rsidP="00465327">
            <w:pPr>
              <w:spacing w:line="240" w:lineRule="auto"/>
              <w:jc w:val="right"/>
              <w:rPr>
                <w:rFonts w:cs="Arial"/>
              </w:rPr>
            </w:pPr>
            <w:r w:rsidRPr="00465327">
              <w:rPr>
                <w:rFonts w:cs="Arial"/>
              </w:rPr>
              <w:t>(</w:t>
            </w:r>
            <w:r w:rsidR="00465327" w:rsidRPr="00465327">
              <w:rPr>
                <w:rFonts w:cs="Arial"/>
              </w:rPr>
              <w:t>837</w:t>
            </w:r>
            <w:r w:rsidRPr="00465327">
              <w:rPr>
                <w:rFonts w:cs="Arial"/>
              </w:rPr>
              <w:t>)</w:t>
            </w:r>
          </w:p>
        </w:tc>
        <w:tc>
          <w:tcPr>
            <w:tcW w:w="1319" w:type="dxa"/>
            <w:noWrap/>
            <w:vAlign w:val="bottom"/>
            <w:hideMark/>
          </w:tcPr>
          <w:p w14:paraId="271CFAA4" w14:textId="77777777" w:rsidR="00BE7115" w:rsidRPr="00465327" w:rsidRDefault="00BE7115" w:rsidP="00BE7115">
            <w:pPr>
              <w:spacing w:line="240" w:lineRule="auto"/>
              <w:jc w:val="right"/>
              <w:rPr>
                <w:rFonts w:cs="Arial"/>
              </w:rPr>
            </w:pPr>
            <w:r w:rsidRPr="00465327">
              <w:rPr>
                <w:rFonts w:cs="Arial"/>
              </w:rPr>
              <w:t>5</w:t>
            </w:r>
          </w:p>
        </w:tc>
        <w:tc>
          <w:tcPr>
            <w:tcW w:w="1134" w:type="dxa"/>
            <w:shd w:val="clear" w:color="auto" w:fill="D9D9D9" w:themeFill="background1" w:themeFillShade="D9"/>
            <w:vAlign w:val="bottom"/>
          </w:tcPr>
          <w:p w14:paraId="1DC83A2D" w14:textId="77777777" w:rsidR="00BE7115" w:rsidRPr="00465327" w:rsidRDefault="00BE7115" w:rsidP="00BE7115">
            <w:pPr>
              <w:spacing w:line="240" w:lineRule="auto"/>
              <w:jc w:val="right"/>
              <w:rPr>
                <w:rFonts w:cs="Arial"/>
              </w:rPr>
            </w:pPr>
            <w:r w:rsidRPr="00465327">
              <w:rPr>
                <w:rFonts w:cs="Arial"/>
              </w:rPr>
              <w:t>5</w:t>
            </w:r>
          </w:p>
        </w:tc>
      </w:tr>
      <w:tr w:rsidR="00BE7115" w:rsidRPr="00AB2F9C" w14:paraId="764BF8BD" w14:textId="77777777" w:rsidTr="00B00E10">
        <w:trPr>
          <w:trHeight w:val="315"/>
        </w:trPr>
        <w:tc>
          <w:tcPr>
            <w:tcW w:w="3640" w:type="dxa"/>
            <w:noWrap/>
            <w:vAlign w:val="bottom"/>
            <w:hideMark/>
          </w:tcPr>
          <w:p w14:paraId="4F74628A" w14:textId="77777777" w:rsidR="00BE7115" w:rsidRPr="00AB2F9C" w:rsidRDefault="00BE7115" w:rsidP="00BE7115">
            <w:pPr>
              <w:spacing w:line="240" w:lineRule="auto"/>
              <w:jc w:val="left"/>
              <w:rPr>
                <w:rFonts w:cs="Arial"/>
              </w:rPr>
            </w:pPr>
            <w:r w:rsidRPr="00AB2F9C">
              <w:rPr>
                <w:rFonts w:cs="Arial"/>
              </w:rPr>
              <w:t>s31 Grant</w:t>
            </w:r>
          </w:p>
        </w:tc>
        <w:tc>
          <w:tcPr>
            <w:tcW w:w="1316" w:type="dxa"/>
            <w:noWrap/>
            <w:vAlign w:val="bottom"/>
            <w:hideMark/>
          </w:tcPr>
          <w:p w14:paraId="3EF5227F" w14:textId="77777777" w:rsidR="00BE7115" w:rsidRPr="00AB2F9C" w:rsidRDefault="00BE7115" w:rsidP="00BE7115">
            <w:pPr>
              <w:spacing w:line="240" w:lineRule="auto"/>
              <w:jc w:val="right"/>
              <w:rPr>
                <w:rFonts w:cs="Arial"/>
              </w:rPr>
            </w:pPr>
            <w:r w:rsidRPr="00AB2F9C">
              <w:rPr>
                <w:rFonts w:cs="Arial"/>
              </w:rPr>
              <w:t>(705)</w:t>
            </w:r>
          </w:p>
        </w:tc>
        <w:tc>
          <w:tcPr>
            <w:tcW w:w="1316" w:type="dxa"/>
            <w:noWrap/>
            <w:vAlign w:val="bottom"/>
            <w:hideMark/>
          </w:tcPr>
          <w:p w14:paraId="5D393E39" w14:textId="7E3E8F97" w:rsidR="00BE7115" w:rsidRPr="002930EA" w:rsidRDefault="00BE7115" w:rsidP="00990EDF">
            <w:pPr>
              <w:spacing w:line="240" w:lineRule="auto"/>
              <w:jc w:val="right"/>
              <w:rPr>
                <w:rFonts w:cs="Arial"/>
              </w:rPr>
            </w:pPr>
            <w:r w:rsidRPr="002930EA">
              <w:rPr>
                <w:rFonts w:cs="Arial"/>
              </w:rPr>
              <w:t>(</w:t>
            </w:r>
            <w:r w:rsidR="00990EDF">
              <w:rPr>
                <w:rFonts w:cs="Arial"/>
              </w:rPr>
              <w:t>317</w:t>
            </w:r>
            <w:r w:rsidRPr="002930EA">
              <w:rPr>
                <w:rFonts w:cs="Arial"/>
              </w:rPr>
              <w:t>)</w:t>
            </w:r>
          </w:p>
        </w:tc>
        <w:tc>
          <w:tcPr>
            <w:tcW w:w="1316" w:type="dxa"/>
            <w:noWrap/>
            <w:vAlign w:val="bottom"/>
            <w:hideMark/>
          </w:tcPr>
          <w:p w14:paraId="7814F39C" w14:textId="5B66E8C3" w:rsidR="00BE7115" w:rsidRPr="002930EA" w:rsidRDefault="00BE7115" w:rsidP="00990EDF">
            <w:pPr>
              <w:spacing w:line="240" w:lineRule="auto"/>
              <w:jc w:val="right"/>
              <w:rPr>
                <w:rFonts w:cs="Arial"/>
              </w:rPr>
            </w:pPr>
            <w:r w:rsidRPr="002930EA">
              <w:rPr>
                <w:rFonts w:cs="Arial"/>
              </w:rPr>
              <w:t>(</w:t>
            </w:r>
            <w:r w:rsidR="00990EDF">
              <w:rPr>
                <w:rFonts w:cs="Arial"/>
              </w:rPr>
              <w:t>317</w:t>
            </w:r>
            <w:r w:rsidRPr="002930EA">
              <w:rPr>
                <w:rFonts w:cs="Arial"/>
              </w:rPr>
              <w:t>)</w:t>
            </w:r>
          </w:p>
        </w:tc>
        <w:tc>
          <w:tcPr>
            <w:tcW w:w="1319" w:type="dxa"/>
            <w:noWrap/>
            <w:vAlign w:val="bottom"/>
            <w:hideMark/>
          </w:tcPr>
          <w:p w14:paraId="56D29EE2" w14:textId="77777777" w:rsidR="00BE7115" w:rsidRPr="002930EA" w:rsidRDefault="00BE7115" w:rsidP="00BE7115">
            <w:pPr>
              <w:spacing w:line="240" w:lineRule="auto"/>
              <w:jc w:val="right"/>
              <w:rPr>
                <w:rFonts w:cs="Arial"/>
              </w:rPr>
            </w:pPr>
            <w:r w:rsidRPr="002930EA">
              <w:rPr>
                <w:rFonts w:cs="Arial"/>
              </w:rPr>
              <w:t>0</w:t>
            </w:r>
          </w:p>
        </w:tc>
        <w:tc>
          <w:tcPr>
            <w:tcW w:w="1134" w:type="dxa"/>
            <w:shd w:val="clear" w:color="auto" w:fill="D9D9D9" w:themeFill="background1" w:themeFillShade="D9"/>
            <w:vAlign w:val="bottom"/>
          </w:tcPr>
          <w:p w14:paraId="69261DA4" w14:textId="77777777" w:rsidR="00BE7115" w:rsidRPr="00FD005B" w:rsidRDefault="00BE7115" w:rsidP="00BE7115">
            <w:pPr>
              <w:spacing w:line="240" w:lineRule="auto"/>
              <w:jc w:val="right"/>
              <w:rPr>
                <w:rFonts w:cs="Arial"/>
                <w:color w:val="FF0000"/>
              </w:rPr>
            </w:pPr>
          </w:p>
        </w:tc>
      </w:tr>
      <w:tr w:rsidR="00BE7115" w:rsidRPr="00AB2F9C" w14:paraId="3A74B907" w14:textId="77777777" w:rsidTr="00B00E10">
        <w:trPr>
          <w:trHeight w:val="315"/>
        </w:trPr>
        <w:tc>
          <w:tcPr>
            <w:tcW w:w="3640" w:type="dxa"/>
            <w:noWrap/>
            <w:vAlign w:val="bottom"/>
            <w:hideMark/>
          </w:tcPr>
          <w:p w14:paraId="5B925488" w14:textId="77777777" w:rsidR="00BE7115" w:rsidRPr="00AB2F9C" w:rsidRDefault="00BE7115" w:rsidP="00BE7115">
            <w:pPr>
              <w:spacing w:line="240" w:lineRule="auto"/>
              <w:jc w:val="left"/>
              <w:rPr>
                <w:rFonts w:cs="Arial"/>
              </w:rPr>
            </w:pPr>
            <w:r w:rsidRPr="00AB2F9C">
              <w:rPr>
                <w:rFonts w:cs="Arial"/>
              </w:rPr>
              <w:t>Retained Business Rates</w:t>
            </w:r>
          </w:p>
        </w:tc>
        <w:tc>
          <w:tcPr>
            <w:tcW w:w="1316" w:type="dxa"/>
            <w:noWrap/>
            <w:vAlign w:val="bottom"/>
            <w:hideMark/>
          </w:tcPr>
          <w:p w14:paraId="17C1D893" w14:textId="77777777" w:rsidR="00BE7115" w:rsidRPr="00AB2F9C" w:rsidRDefault="00BE7115" w:rsidP="00BE7115">
            <w:pPr>
              <w:spacing w:line="240" w:lineRule="auto"/>
              <w:jc w:val="right"/>
              <w:rPr>
                <w:rFonts w:cs="Arial"/>
              </w:rPr>
            </w:pPr>
            <w:r w:rsidRPr="00AB2F9C">
              <w:rPr>
                <w:rFonts w:cs="Arial"/>
              </w:rPr>
              <w:t>(3,512)</w:t>
            </w:r>
          </w:p>
        </w:tc>
        <w:tc>
          <w:tcPr>
            <w:tcW w:w="1316" w:type="dxa"/>
            <w:noWrap/>
            <w:vAlign w:val="bottom"/>
            <w:hideMark/>
          </w:tcPr>
          <w:p w14:paraId="029E39DA" w14:textId="0A8E6549" w:rsidR="00BE7115" w:rsidRPr="002930EA" w:rsidRDefault="00990EDF" w:rsidP="00990EDF">
            <w:pPr>
              <w:spacing w:line="240" w:lineRule="auto"/>
              <w:jc w:val="right"/>
              <w:rPr>
                <w:rFonts w:cs="Arial"/>
              </w:rPr>
            </w:pPr>
            <w:r>
              <w:rPr>
                <w:rFonts w:cs="Arial"/>
              </w:rPr>
              <w:t>5,070</w:t>
            </w:r>
          </w:p>
        </w:tc>
        <w:tc>
          <w:tcPr>
            <w:tcW w:w="1316" w:type="dxa"/>
            <w:noWrap/>
            <w:vAlign w:val="bottom"/>
            <w:hideMark/>
          </w:tcPr>
          <w:p w14:paraId="0B1E0763" w14:textId="67A00D18" w:rsidR="00BE7115" w:rsidRPr="002930EA" w:rsidRDefault="00990EDF" w:rsidP="00990EDF">
            <w:pPr>
              <w:spacing w:line="240" w:lineRule="auto"/>
              <w:jc w:val="right"/>
              <w:rPr>
                <w:rFonts w:cs="Arial"/>
              </w:rPr>
            </w:pPr>
            <w:r>
              <w:rPr>
                <w:rFonts w:cs="Arial"/>
              </w:rPr>
              <w:t>5</w:t>
            </w:r>
            <w:r w:rsidR="00CA7861" w:rsidRPr="002930EA">
              <w:rPr>
                <w:rFonts w:cs="Arial"/>
              </w:rPr>
              <w:t>,</w:t>
            </w:r>
            <w:r>
              <w:rPr>
                <w:rFonts w:cs="Arial"/>
              </w:rPr>
              <w:t>070</w:t>
            </w:r>
          </w:p>
        </w:tc>
        <w:tc>
          <w:tcPr>
            <w:tcW w:w="1319" w:type="dxa"/>
            <w:noWrap/>
            <w:vAlign w:val="bottom"/>
            <w:hideMark/>
          </w:tcPr>
          <w:p w14:paraId="1A0E145F" w14:textId="77777777" w:rsidR="00BE7115" w:rsidRPr="002930EA" w:rsidRDefault="00BE7115" w:rsidP="00BE7115">
            <w:pPr>
              <w:spacing w:line="240" w:lineRule="auto"/>
              <w:jc w:val="right"/>
              <w:rPr>
                <w:rFonts w:cs="Arial"/>
              </w:rPr>
            </w:pPr>
            <w:r w:rsidRPr="002930EA">
              <w:rPr>
                <w:rFonts w:cs="Arial"/>
              </w:rPr>
              <w:t>0</w:t>
            </w:r>
          </w:p>
        </w:tc>
        <w:tc>
          <w:tcPr>
            <w:tcW w:w="1134" w:type="dxa"/>
            <w:shd w:val="clear" w:color="auto" w:fill="D9D9D9" w:themeFill="background1" w:themeFillShade="D9"/>
            <w:vAlign w:val="bottom"/>
          </w:tcPr>
          <w:p w14:paraId="29303BD9" w14:textId="77777777" w:rsidR="00BE7115" w:rsidRPr="00FD005B" w:rsidRDefault="00BE7115" w:rsidP="00BE7115">
            <w:pPr>
              <w:spacing w:line="240" w:lineRule="auto"/>
              <w:jc w:val="right"/>
              <w:rPr>
                <w:rFonts w:cs="Arial"/>
                <w:color w:val="FF0000"/>
              </w:rPr>
            </w:pPr>
          </w:p>
        </w:tc>
      </w:tr>
      <w:tr w:rsidR="00BE7115" w:rsidRPr="00AB2F9C" w14:paraId="334421F4" w14:textId="77777777" w:rsidTr="00B00E10">
        <w:trPr>
          <w:trHeight w:val="315"/>
        </w:trPr>
        <w:tc>
          <w:tcPr>
            <w:tcW w:w="3640" w:type="dxa"/>
            <w:noWrap/>
            <w:vAlign w:val="bottom"/>
            <w:hideMark/>
          </w:tcPr>
          <w:p w14:paraId="2AEB24C9" w14:textId="2B34AE5D" w:rsidR="00BE7115" w:rsidRPr="006366E3" w:rsidRDefault="00BE7115" w:rsidP="00BE7115">
            <w:pPr>
              <w:spacing w:line="240" w:lineRule="auto"/>
              <w:jc w:val="left"/>
              <w:rPr>
                <w:rFonts w:cs="Arial"/>
                <w:b/>
                <w:i/>
              </w:rPr>
            </w:pPr>
            <w:r w:rsidRPr="006366E3">
              <w:rPr>
                <w:rFonts w:cs="Arial"/>
                <w:b/>
                <w:i/>
              </w:rPr>
              <w:t>Total Funding</w:t>
            </w:r>
          </w:p>
        </w:tc>
        <w:tc>
          <w:tcPr>
            <w:tcW w:w="1316" w:type="dxa"/>
            <w:noWrap/>
            <w:vAlign w:val="bottom"/>
            <w:hideMark/>
          </w:tcPr>
          <w:p w14:paraId="19EF1015" w14:textId="2CCE9C93" w:rsidR="00BE7115" w:rsidRPr="006366E3" w:rsidRDefault="002930EA" w:rsidP="00033F89">
            <w:pPr>
              <w:spacing w:line="240" w:lineRule="auto"/>
              <w:jc w:val="right"/>
              <w:rPr>
                <w:rFonts w:cs="Arial"/>
                <w:b/>
                <w:i/>
              </w:rPr>
            </w:pPr>
            <w:r>
              <w:rPr>
                <w:rFonts w:cs="Arial"/>
                <w:b/>
                <w:i/>
              </w:rPr>
              <w:t>(</w:t>
            </w:r>
            <w:r w:rsidR="00BE7115" w:rsidRPr="006366E3">
              <w:rPr>
                <w:rFonts w:cs="Arial"/>
                <w:b/>
                <w:i/>
              </w:rPr>
              <w:t>14</w:t>
            </w:r>
            <w:r w:rsidR="00033F89">
              <w:rPr>
                <w:rFonts w:cs="Arial"/>
                <w:b/>
                <w:i/>
              </w:rPr>
              <w:t>,</w:t>
            </w:r>
            <w:r w:rsidR="00BE7115" w:rsidRPr="006366E3">
              <w:rPr>
                <w:rFonts w:cs="Arial"/>
                <w:b/>
                <w:i/>
              </w:rPr>
              <w:t>197</w:t>
            </w:r>
            <w:r>
              <w:rPr>
                <w:rFonts w:cs="Arial"/>
                <w:b/>
                <w:i/>
              </w:rPr>
              <w:t>)</w:t>
            </w:r>
          </w:p>
        </w:tc>
        <w:tc>
          <w:tcPr>
            <w:tcW w:w="1316" w:type="dxa"/>
            <w:noWrap/>
            <w:vAlign w:val="bottom"/>
            <w:hideMark/>
          </w:tcPr>
          <w:p w14:paraId="0348C009" w14:textId="3F21F9FB" w:rsidR="00BE7115" w:rsidRPr="002930EA" w:rsidRDefault="002930EA" w:rsidP="00033F89">
            <w:pPr>
              <w:spacing w:line="240" w:lineRule="auto"/>
              <w:jc w:val="right"/>
              <w:rPr>
                <w:rFonts w:cs="Arial"/>
                <w:b/>
                <w:i/>
              </w:rPr>
            </w:pPr>
            <w:r w:rsidRPr="002930EA">
              <w:rPr>
                <w:rFonts w:cs="Arial"/>
                <w:b/>
                <w:i/>
              </w:rPr>
              <w:t>3</w:t>
            </w:r>
            <w:r w:rsidR="00033F89">
              <w:rPr>
                <w:rFonts w:cs="Arial"/>
                <w:b/>
                <w:i/>
              </w:rPr>
              <w:t>,</w:t>
            </w:r>
            <w:r w:rsidR="00990EDF">
              <w:rPr>
                <w:rFonts w:cs="Arial"/>
                <w:b/>
                <w:i/>
              </w:rPr>
              <w:t>695</w:t>
            </w:r>
          </w:p>
        </w:tc>
        <w:tc>
          <w:tcPr>
            <w:tcW w:w="1316" w:type="dxa"/>
            <w:noWrap/>
            <w:vAlign w:val="bottom"/>
            <w:hideMark/>
          </w:tcPr>
          <w:p w14:paraId="18FBDAE9" w14:textId="6757D64F" w:rsidR="00BE7115" w:rsidRPr="002930EA" w:rsidRDefault="002930EA" w:rsidP="00033F89">
            <w:pPr>
              <w:spacing w:line="240" w:lineRule="auto"/>
              <w:jc w:val="right"/>
              <w:rPr>
                <w:rFonts w:cs="Arial"/>
                <w:b/>
                <w:i/>
              </w:rPr>
            </w:pPr>
            <w:r w:rsidRPr="002930EA">
              <w:rPr>
                <w:rFonts w:cs="Arial"/>
                <w:b/>
                <w:i/>
              </w:rPr>
              <w:t>3</w:t>
            </w:r>
            <w:r w:rsidR="00033F89">
              <w:rPr>
                <w:rFonts w:cs="Arial"/>
                <w:b/>
                <w:i/>
              </w:rPr>
              <w:t>,</w:t>
            </w:r>
            <w:r w:rsidR="00990EDF">
              <w:rPr>
                <w:rFonts w:cs="Arial"/>
                <w:b/>
                <w:i/>
              </w:rPr>
              <w:t>690</w:t>
            </w:r>
          </w:p>
        </w:tc>
        <w:tc>
          <w:tcPr>
            <w:tcW w:w="1319" w:type="dxa"/>
            <w:noWrap/>
            <w:vAlign w:val="bottom"/>
            <w:hideMark/>
          </w:tcPr>
          <w:p w14:paraId="1109D49F" w14:textId="0FCFB7A3" w:rsidR="00BE7115" w:rsidRPr="002930EA" w:rsidRDefault="00BE7115" w:rsidP="00BE7115">
            <w:pPr>
              <w:spacing w:line="240" w:lineRule="auto"/>
              <w:jc w:val="right"/>
              <w:rPr>
                <w:rFonts w:cs="Arial"/>
                <w:b/>
                <w:i/>
              </w:rPr>
            </w:pPr>
            <w:r w:rsidRPr="002930EA">
              <w:rPr>
                <w:rFonts w:cs="Arial"/>
                <w:b/>
                <w:i/>
              </w:rPr>
              <w:t>5</w:t>
            </w:r>
          </w:p>
        </w:tc>
        <w:tc>
          <w:tcPr>
            <w:tcW w:w="1134" w:type="dxa"/>
            <w:shd w:val="clear" w:color="auto" w:fill="D9D9D9" w:themeFill="background1" w:themeFillShade="D9"/>
            <w:vAlign w:val="bottom"/>
          </w:tcPr>
          <w:p w14:paraId="412E962D" w14:textId="2EC4A5BB" w:rsidR="00BE7115" w:rsidRPr="002930EA" w:rsidRDefault="00BE7115" w:rsidP="00BE7115">
            <w:pPr>
              <w:spacing w:line="240" w:lineRule="auto"/>
              <w:jc w:val="right"/>
              <w:rPr>
                <w:rFonts w:cs="Arial"/>
                <w:b/>
                <w:i/>
              </w:rPr>
            </w:pPr>
            <w:r w:rsidRPr="002930EA">
              <w:rPr>
                <w:rFonts w:cs="Arial"/>
                <w:b/>
                <w:i/>
              </w:rPr>
              <w:t>5</w:t>
            </w:r>
          </w:p>
        </w:tc>
      </w:tr>
      <w:tr w:rsidR="00CA7861" w:rsidRPr="00AB2F9C" w14:paraId="54DB2CEB" w14:textId="77777777" w:rsidTr="00B00E10">
        <w:trPr>
          <w:trHeight w:val="315"/>
        </w:trPr>
        <w:tc>
          <w:tcPr>
            <w:tcW w:w="3640" w:type="dxa"/>
            <w:noWrap/>
            <w:vAlign w:val="bottom"/>
          </w:tcPr>
          <w:p w14:paraId="7E5360FE" w14:textId="77777777" w:rsidR="00CA7861" w:rsidRPr="006366E3" w:rsidRDefault="00CA7861" w:rsidP="00BE7115">
            <w:pPr>
              <w:spacing w:line="240" w:lineRule="auto"/>
              <w:jc w:val="left"/>
              <w:rPr>
                <w:rFonts w:cs="Arial"/>
                <w:b/>
                <w:i/>
              </w:rPr>
            </w:pPr>
          </w:p>
        </w:tc>
        <w:tc>
          <w:tcPr>
            <w:tcW w:w="1316" w:type="dxa"/>
            <w:noWrap/>
            <w:vAlign w:val="bottom"/>
          </w:tcPr>
          <w:p w14:paraId="5FBCFD23" w14:textId="77777777" w:rsidR="00CA7861" w:rsidRPr="006366E3" w:rsidRDefault="00CA7861" w:rsidP="00BE7115">
            <w:pPr>
              <w:spacing w:line="240" w:lineRule="auto"/>
              <w:jc w:val="right"/>
              <w:rPr>
                <w:rFonts w:cs="Arial"/>
                <w:b/>
                <w:i/>
              </w:rPr>
            </w:pPr>
          </w:p>
        </w:tc>
        <w:tc>
          <w:tcPr>
            <w:tcW w:w="1316" w:type="dxa"/>
            <w:noWrap/>
            <w:vAlign w:val="bottom"/>
          </w:tcPr>
          <w:p w14:paraId="70481422" w14:textId="77777777" w:rsidR="00CA7861" w:rsidRPr="00FD005B" w:rsidRDefault="00CA7861" w:rsidP="00BE7115">
            <w:pPr>
              <w:spacing w:line="240" w:lineRule="auto"/>
              <w:jc w:val="right"/>
              <w:rPr>
                <w:rFonts w:cs="Arial"/>
                <w:b/>
                <w:i/>
                <w:color w:val="FF0000"/>
              </w:rPr>
            </w:pPr>
          </w:p>
        </w:tc>
        <w:tc>
          <w:tcPr>
            <w:tcW w:w="1316" w:type="dxa"/>
            <w:noWrap/>
            <w:vAlign w:val="bottom"/>
          </w:tcPr>
          <w:p w14:paraId="18395630" w14:textId="77777777" w:rsidR="00CA7861" w:rsidRPr="00FD005B" w:rsidRDefault="00CA7861" w:rsidP="00BE7115">
            <w:pPr>
              <w:spacing w:line="240" w:lineRule="auto"/>
              <w:jc w:val="right"/>
              <w:rPr>
                <w:rFonts w:cs="Arial"/>
                <w:b/>
                <w:i/>
                <w:color w:val="FF0000"/>
              </w:rPr>
            </w:pPr>
          </w:p>
        </w:tc>
        <w:tc>
          <w:tcPr>
            <w:tcW w:w="1319" w:type="dxa"/>
            <w:noWrap/>
            <w:vAlign w:val="bottom"/>
          </w:tcPr>
          <w:p w14:paraId="6AAC3066" w14:textId="77777777" w:rsidR="00CA7861" w:rsidRPr="00FD005B" w:rsidRDefault="00CA7861" w:rsidP="00BE7115">
            <w:pPr>
              <w:spacing w:line="240" w:lineRule="auto"/>
              <w:jc w:val="right"/>
              <w:rPr>
                <w:rFonts w:cs="Arial"/>
                <w:b/>
                <w:i/>
                <w:color w:val="FF0000"/>
              </w:rPr>
            </w:pPr>
          </w:p>
        </w:tc>
        <w:tc>
          <w:tcPr>
            <w:tcW w:w="1134" w:type="dxa"/>
            <w:shd w:val="clear" w:color="auto" w:fill="D9D9D9" w:themeFill="background1" w:themeFillShade="D9"/>
            <w:vAlign w:val="bottom"/>
          </w:tcPr>
          <w:p w14:paraId="6AC9A566" w14:textId="77777777" w:rsidR="00CA7861" w:rsidRPr="00FD005B" w:rsidRDefault="00CA7861" w:rsidP="00BE7115">
            <w:pPr>
              <w:spacing w:line="240" w:lineRule="auto"/>
              <w:jc w:val="right"/>
              <w:rPr>
                <w:rFonts w:cs="Arial"/>
                <w:b/>
                <w:i/>
                <w:color w:val="FF0000"/>
              </w:rPr>
            </w:pPr>
          </w:p>
        </w:tc>
      </w:tr>
      <w:tr w:rsidR="00BE7115" w:rsidRPr="00AB2F9C" w14:paraId="65482C8C" w14:textId="77777777" w:rsidTr="00B00E10">
        <w:trPr>
          <w:trHeight w:val="315"/>
        </w:trPr>
        <w:tc>
          <w:tcPr>
            <w:tcW w:w="3640" w:type="dxa"/>
            <w:noWrap/>
            <w:vAlign w:val="bottom"/>
            <w:hideMark/>
          </w:tcPr>
          <w:p w14:paraId="57D74CCE" w14:textId="7CCC569F" w:rsidR="00BE7115" w:rsidRPr="00AB2F9C" w:rsidRDefault="00BE7115" w:rsidP="00BE7115">
            <w:pPr>
              <w:spacing w:line="240" w:lineRule="auto"/>
              <w:jc w:val="left"/>
              <w:rPr>
                <w:rFonts w:cs="Arial"/>
                <w:b/>
                <w:bCs/>
              </w:rPr>
            </w:pPr>
            <w:r>
              <w:rPr>
                <w:rFonts w:cs="Arial"/>
                <w:b/>
                <w:bCs/>
              </w:rPr>
              <w:t>T</w:t>
            </w:r>
            <w:r w:rsidRPr="00AB2F9C">
              <w:rPr>
                <w:rFonts w:cs="Arial"/>
                <w:b/>
                <w:bCs/>
              </w:rPr>
              <w:t xml:space="preserve">OTAL </w:t>
            </w:r>
          </w:p>
        </w:tc>
        <w:tc>
          <w:tcPr>
            <w:tcW w:w="1316" w:type="dxa"/>
            <w:noWrap/>
            <w:vAlign w:val="bottom"/>
            <w:hideMark/>
          </w:tcPr>
          <w:p w14:paraId="79AA5964" w14:textId="77777777" w:rsidR="00BE7115" w:rsidRPr="00AB2F9C" w:rsidRDefault="00BE7115" w:rsidP="00BE7115">
            <w:pPr>
              <w:spacing w:line="240" w:lineRule="auto"/>
              <w:jc w:val="right"/>
              <w:rPr>
                <w:rFonts w:cs="Arial"/>
                <w:b/>
                <w:bCs/>
              </w:rPr>
            </w:pPr>
            <w:r w:rsidRPr="00AB2F9C">
              <w:rPr>
                <w:rFonts w:cs="Arial"/>
                <w:b/>
                <w:bCs/>
              </w:rPr>
              <w:t>0</w:t>
            </w:r>
          </w:p>
        </w:tc>
        <w:tc>
          <w:tcPr>
            <w:tcW w:w="1316" w:type="dxa"/>
            <w:noWrap/>
            <w:vAlign w:val="bottom"/>
            <w:hideMark/>
          </w:tcPr>
          <w:p w14:paraId="17345A60" w14:textId="445993DD" w:rsidR="00BE7115" w:rsidRPr="002930EA" w:rsidRDefault="002930EA" w:rsidP="00033F89">
            <w:pPr>
              <w:spacing w:line="240" w:lineRule="auto"/>
              <w:jc w:val="right"/>
              <w:rPr>
                <w:rFonts w:cs="Arial"/>
                <w:b/>
                <w:bCs/>
              </w:rPr>
            </w:pPr>
            <w:r w:rsidRPr="002930EA">
              <w:rPr>
                <w:rFonts w:cs="Arial"/>
                <w:b/>
                <w:bCs/>
              </w:rPr>
              <w:t>12</w:t>
            </w:r>
            <w:r w:rsidR="00033F89">
              <w:rPr>
                <w:rFonts w:cs="Arial"/>
                <w:b/>
                <w:bCs/>
              </w:rPr>
              <w:t>,</w:t>
            </w:r>
            <w:r w:rsidR="00990EDF">
              <w:rPr>
                <w:rFonts w:cs="Arial"/>
                <w:b/>
                <w:bCs/>
              </w:rPr>
              <w:t>966</w:t>
            </w:r>
          </w:p>
        </w:tc>
        <w:tc>
          <w:tcPr>
            <w:tcW w:w="1316" w:type="dxa"/>
            <w:noWrap/>
            <w:vAlign w:val="bottom"/>
            <w:hideMark/>
          </w:tcPr>
          <w:p w14:paraId="4E7BD0E4" w14:textId="6021A779" w:rsidR="00BE7115" w:rsidRPr="002930EA" w:rsidRDefault="002930EA" w:rsidP="00990EDF">
            <w:pPr>
              <w:spacing w:line="240" w:lineRule="auto"/>
              <w:jc w:val="right"/>
              <w:rPr>
                <w:rFonts w:cs="Arial"/>
                <w:b/>
                <w:bCs/>
              </w:rPr>
            </w:pPr>
            <w:r w:rsidRPr="002930EA">
              <w:rPr>
                <w:rFonts w:cs="Arial"/>
                <w:b/>
                <w:bCs/>
              </w:rPr>
              <w:t>1</w:t>
            </w:r>
            <w:r w:rsidR="00990EDF">
              <w:rPr>
                <w:rFonts w:cs="Arial"/>
                <w:b/>
                <w:bCs/>
              </w:rPr>
              <w:t>2</w:t>
            </w:r>
            <w:r w:rsidR="00BE7115" w:rsidRPr="002930EA">
              <w:rPr>
                <w:rFonts w:cs="Arial"/>
                <w:b/>
                <w:bCs/>
              </w:rPr>
              <w:t>,</w:t>
            </w:r>
            <w:r w:rsidR="00990EDF">
              <w:rPr>
                <w:rFonts w:cs="Arial"/>
                <w:b/>
                <w:bCs/>
              </w:rPr>
              <w:t>730</w:t>
            </w:r>
          </w:p>
        </w:tc>
        <w:tc>
          <w:tcPr>
            <w:tcW w:w="1319" w:type="dxa"/>
            <w:noWrap/>
            <w:vAlign w:val="bottom"/>
            <w:hideMark/>
          </w:tcPr>
          <w:p w14:paraId="7F09A79F" w14:textId="25618589" w:rsidR="00BE7115" w:rsidRPr="002930EA" w:rsidRDefault="00990EDF" w:rsidP="00990EDF">
            <w:pPr>
              <w:spacing w:line="240" w:lineRule="auto"/>
              <w:jc w:val="right"/>
              <w:rPr>
                <w:rFonts w:cs="Arial"/>
                <w:b/>
                <w:bCs/>
              </w:rPr>
            </w:pPr>
            <w:r>
              <w:rPr>
                <w:rFonts w:cs="Arial"/>
                <w:b/>
                <w:bCs/>
              </w:rPr>
              <w:t>236</w:t>
            </w:r>
          </w:p>
        </w:tc>
        <w:tc>
          <w:tcPr>
            <w:tcW w:w="1134" w:type="dxa"/>
            <w:shd w:val="clear" w:color="auto" w:fill="D9D9D9" w:themeFill="background1" w:themeFillShade="D9"/>
            <w:vAlign w:val="bottom"/>
          </w:tcPr>
          <w:p w14:paraId="30707513" w14:textId="1FEBD7E7" w:rsidR="00BE7115" w:rsidRPr="00FD005B" w:rsidRDefault="00CE4A87" w:rsidP="00CE4A87">
            <w:pPr>
              <w:spacing w:line="240" w:lineRule="auto"/>
              <w:jc w:val="right"/>
              <w:rPr>
                <w:rFonts w:cs="Arial"/>
                <w:b/>
                <w:bCs/>
                <w:color w:val="FF0000"/>
              </w:rPr>
            </w:pPr>
            <w:r w:rsidRPr="00CE4A87">
              <w:rPr>
                <w:rFonts w:cs="Arial"/>
                <w:b/>
                <w:bCs/>
              </w:rPr>
              <w:t>84</w:t>
            </w:r>
          </w:p>
        </w:tc>
      </w:tr>
    </w:tbl>
    <w:p w14:paraId="47EC7D2D" w14:textId="77777777" w:rsidR="0050746F" w:rsidRDefault="0050746F" w:rsidP="00024833"/>
    <w:p w14:paraId="77571EBE" w14:textId="77777777" w:rsidR="00CA7861" w:rsidRDefault="00CA7861" w:rsidP="00024833"/>
    <w:p w14:paraId="5E861200" w14:textId="77777777" w:rsidR="00024833" w:rsidRDefault="00024833" w:rsidP="00024833">
      <w:pPr>
        <w:pStyle w:val="Heading1"/>
      </w:pPr>
      <w:r>
        <w:t>Revenue Budget Variations</w:t>
      </w:r>
    </w:p>
    <w:p w14:paraId="586D62DD" w14:textId="360778B9" w:rsidR="00024833" w:rsidRDefault="00024833" w:rsidP="00024833">
      <w:r w:rsidRPr="00024833">
        <w:t>There are a number of factors that</w:t>
      </w:r>
      <w:r w:rsidR="005B496D">
        <w:t xml:space="preserve"> contribute </w:t>
      </w:r>
      <w:r w:rsidRPr="00024833">
        <w:t xml:space="preserve">on the Council’s </w:t>
      </w:r>
      <w:r w:rsidR="007B0261">
        <w:t xml:space="preserve">budget management </w:t>
      </w:r>
      <w:r w:rsidRPr="00024833">
        <w:t>performance when compared against the original budget set in February 201</w:t>
      </w:r>
      <w:r w:rsidR="00B92876">
        <w:t>7</w:t>
      </w:r>
      <w:r w:rsidRPr="00024833">
        <w:t>.  An explanation is set out below which highlights the salient point</w:t>
      </w:r>
      <w:r w:rsidR="00EC4EBE">
        <w:t>s</w:t>
      </w:r>
      <w:r w:rsidRPr="00024833">
        <w:t xml:space="preserve"> and reasons for the budget variation</w:t>
      </w:r>
      <w:r w:rsidR="005B496D">
        <w:t>s.</w:t>
      </w:r>
    </w:p>
    <w:p w14:paraId="7BBFC386" w14:textId="77777777" w:rsidR="005019EC" w:rsidRDefault="005019EC" w:rsidP="00024833"/>
    <w:p w14:paraId="248B5651" w14:textId="3505E02D" w:rsidR="00391A62" w:rsidRDefault="00354A90" w:rsidP="00354A90">
      <w:pPr>
        <w:spacing w:line="240" w:lineRule="auto"/>
        <w:rPr>
          <w:rFonts w:eastAsia="Times New Roman" w:cs="Arial"/>
          <w:b/>
          <w:color w:val="000000"/>
          <w:lang w:eastAsia="en-GB"/>
        </w:rPr>
      </w:pPr>
      <w:r w:rsidRPr="000E4D09">
        <w:rPr>
          <w:rFonts w:eastAsia="Times New Roman" w:cs="Arial"/>
          <w:b/>
          <w:color w:val="000000"/>
          <w:lang w:eastAsia="en-GB"/>
        </w:rPr>
        <w:t>Chief Executive</w:t>
      </w:r>
    </w:p>
    <w:p w14:paraId="22C14A0A" w14:textId="77777777" w:rsidR="00732FD9" w:rsidRDefault="00732FD9" w:rsidP="00354A90">
      <w:pPr>
        <w:spacing w:line="240" w:lineRule="auto"/>
      </w:pPr>
    </w:p>
    <w:p w14:paraId="1405B7FD" w14:textId="37BE9960" w:rsidR="00354A90" w:rsidRPr="00F649F6" w:rsidRDefault="00354A90" w:rsidP="00024833">
      <w:r w:rsidRPr="00F649F6">
        <w:t xml:space="preserve">The overall variance in the first </w:t>
      </w:r>
      <w:r w:rsidR="00990EDF">
        <w:t xml:space="preserve">six </w:t>
      </w:r>
      <w:r w:rsidR="00F649F6" w:rsidRPr="00F649F6">
        <w:t xml:space="preserve">months </w:t>
      </w:r>
      <w:r w:rsidRPr="00F649F6">
        <w:t>was a £</w:t>
      </w:r>
      <w:r w:rsidR="00990EDF">
        <w:t>20</w:t>
      </w:r>
      <w:r w:rsidR="00F649F6" w:rsidRPr="00F649F6">
        <w:t>,</w:t>
      </w:r>
      <w:r w:rsidRPr="00F649F6">
        <w:t xml:space="preserve">000 </w:t>
      </w:r>
      <w:r w:rsidR="00591759" w:rsidRPr="00F649F6">
        <w:t xml:space="preserve">net </w:t>
      </w:r>
      <w:r w:rsidRPr="00F649F6">
        <w:t>underspend. This was mainly due to</w:t>
      </w:r>
      <w:r w:rsidR="00990EDF">
        <w:t>:</w:t>
      </w:r>
      <w:r w:rsidRPr="00F649F6">
        <w:t xml:space="preserve"> </w:t>
      </w:r>
      <w:r w:rsidR="00990EDF">
        <w:t>(1) t</w:t>
      </w:r>
      <w:r w:rsidRPr="00F649F6">
        <w:t xml:space="preserve">he balance of </w:t>
      </w:r>
      <w:r w:rsidR="00732FD9" w:rsidRPr="00F649F6">
        <w:t>unspent b</w:t>
      </w:r>
      <w:r w:rsidRPr="00F649F6">
        <w:t xml:space="preserve">udget </w:t>
      </w:r>
      <w:r w:rsidR="00732FD9" w:rsidRPr="00F649F6">
        <w:t xml:space="preserve">to </w:t>
      </w:r>
      <w:r w:rsidR="002479CA">
        <w:t>September</w:t>
      </w:r>
      <w:r w:rsidR="00F649F6" w:rsidRPr="00F649F6">
        <w:t xml:space="preserve"> </w:t>
      </w:r>
      <w:r w:rsidRPr="00F649F6">
        <w:t xml:space="preserve">in relation to </w:t>
      </w:r>
      <w:r w:rsidR="00F81330">
        <w:t xml:space="preserve">the £200,000 budget for </w:t>
      </w:r>
      <w:r w:rsidRPr="00F649F6">
        <w:t xml:space="preserve">Corporate Support </w:t>
      </w:r>
      <w:r w:rsidR="00F649F6" w:rsidRPr="00F649F6">
        <w:t>(</w:t>
      </w:r>
      <w:r w:rsidRPr="00F649F6">
        <w:t>£</w:t>
      </w:r>
      <w:r w:rsidR="00F649F6" w:rsidRPr="00F649F6">
        <w:t>36,000)</w:t>
      </w:r>
      <w:r w:rsidR="00990EDF">
        <w:t>. This will be used to part fund interim staff costs in the second half of the year, and; (2) unbudgeted severance pay (£16,000)</w:t>
      </w:r>
      <w:r w:rsidRPr="00F649F6">
        <w:t>.</w:t>
      </w:r>
      <w:r w:rsidR="00990EDF">
        <w:t xml:space="preserve"> It is anticipated that this will be offset by vacancy savings and therefore no outturn variance is forecast.</w:t>
      </w:r>
    </w:p>
    <w:p w14:paraId="09C3DFD8" w14:textId="77777777" w:rsidR="00354A90" w:rsidRPr="00F649F6" w:rsidRDefault="00354A90" w:rsidP="00024833"/>
    <w:p w14:paraId="69CD730E" w14:textId="77777777" w:rsidR="00354A90" w:rsidRDefault="00354A90" w:rsidP="00354A90">
      <w:pPr>
        <w:spacing w:line="240" w:lineRule="auto"/>
        <w:rPr>
          <w:rFonts w:eastAsia="Times New Roman" w:cs="Arial"/>
          <w:b/>
          <w:color w:val="000000"/>
          <w:lang w:eastAsia="en-GB"/>
        </w:rPr>
      </w:pPr>
      <w:r w:rsidRPr="000E4D09">
        <w:rPr>
          <w:rFonts w:eastAsia="Times New Roman" w:cs="Arial"/>
          <w:b/>
          <w:color w:val="000000"/>
          <w:lang w:eastAsia="en-GB"/>
        </w:rPr>
        <w:t>Development Enterprise &amp; Community</w:t>
      </w:r>
    </w:p>
    <w:p w14:paraId="6C4236D3" w14:textId="77777777" w:rsidR="00732FD9" w:rsidRPr="000E4D09" w:rsidRDefault="00732FD9" w:rsidP="00354A90">
      <w:pPr>
        <w:spacing w:line="240" w:lineRule="auto"/>
        <w:rPr>
          <w:rFonts w:eastAsia="Times New Roman" w:cs="Arial"/>
          <w:b/>
          <w:color w:val="000000"/>
          <w:lang w:eastAsia="en-GB"/>
        </w:rPr>
      </w:pPr>
    </w:p>
    <w:p w14:paraId="4D7535B5" w14:textId="4EA969A7" w:rsidR="00B8657F" w:rsidRPr="00F649F6" w:rsidRDefault="00354A90" w:rsidP="00F649F6">
      <w:pPr>
        <w:rPr>
          <w:rFonts w:cs="Arial"/>
          <w:b/>
        </w:rPr>
      </w:pPr>
      <w:r w:rsidRPr="00F649F6">
        <w:t xml:space="preserve">The overall variance </w:t>
      </w:r>
      <w:r w:rsidR="00F649F6" w:rsidRPr="00F649F6">
        <w:t xml:space="preserve">in the period was </w:t>
      </w:r>
      <w:r w:rsidRPr="00F649F6">
        <w:t>a £</w:t>
      </w:r>
      <w:r w:rsidR="00F649F6" w:rsidRPr="00F649F6">
        <w:t>1</w:t>
      </w:r>
      <w:r w:rsidR="00B360BD">
        <w:t>29</w:t>
      </w:r>
      <w:r w:rsidR="00F649F6" w:rsidRPr="00F649F6">
        <w:t>,</w:t>
      </w:r>
      <w:r w:rsidRPr="00F649F6">
        <w:t xml:space="preserve">000 </w:t>
      </w:r>
      <w:r w:rsidR="00591759" w:rsidRPr="00F649F6">
        <w:t xml:space="preserve">net </w:t>
      </w:r>
      <w:r w:rsidRPr="00F649F6">
        <w:t>underspend</w:t>
      </w:r>
      <w:r w:rsidR="00591759" w:rsidRPr="00F649F6">
        <w:t xml:space="preserve">. </w:t>
      </w:r>
      <w:r w:rsidR="00F81330">
        <w:t>The main reason for this in-year variation is improved levels of income achieved in relation to Building Control fees and Planning Fee income.</w:t>
      </w:r>
    </w:p>
    <w:p w14:paraId="32BEA233" w14:textId="0C8A2254" w:rsidR="00591759" w:rsidRPr="00896F7F" w:rsidRDefault="00591759" w:rsidP="00732FD9">
      <w:pPr>
        <w:pStyle w:val="Heading3"/>
        <w:rPr>
          <w:rFonts w:eastAsia="Times New Roman" w:cs="Arial"/>
          <w:b w:val="0"/>
          <w:lang w:eastAsia="en-GB"/>
        </w:rPr>
      </w:pPr>
      <w:r w:rsidRPr="00986991">
        <w:rPr>
          <w:rFonts w:cs="Arial"/>
          <w:b w:val="0"/>
        </w:rPr>
        <w:t xml:space="preserve">The increase in Building Control income </w:t>
      </w:r>
      <w:r w:rsidR="00896F7F">
        <w:rPr>
          <w:rFonts w:cs="Arial"/>
          <w:b w:val="0"/>
        </w:rPr>
        <w:t xml:space="preserve">achieved </w:t>
      </w:r>
      <w:r w:rsidRPr="00986991">
        <w:rPr>
          <w:rFonts w:cs="Arial"/>
          <w:b w:val="0"/>
        </w:rPr>
        <w:t xml:space="preserve">against the profiled budget to </w:t>
      </w:r>
      <w:r w:rsidR="002479CA">
        <w:rPr>
          <w:rFonts w:cs="Arial"/>
          <w:b w:val="0"/>
        </w:rPr>
        <w:t>September</w:t>
      </w:r>
      <w:r w:rsidRPr="00986991">
        <w:rPr>
          <w:rFonts w:cs="Arial"/>
          <w:b w:val="0"/>
        </w:rPr>
        <w:t xml:space="preserve"> </w:t>
      </w:r>
      <w:r w:rsidR="00F81330">
        <w:rPr>
          <w:rFonts w:cs="Arial"/>
          <w:b w:val="0"/>
        </w:rPr>
        <w:t>is</w:t>
      </w:r>
      <w:r w:rsidRPr="00986991">
        <w:rPr>
          <w:rFonts w:cs="Arial"/>
          <w:b w:val="0"/>
        </w:rPr>
        <w:t xml:space="preserve"> £</w:t>
      </w:r>
      <w:r w:rsidR="00986991" w:rsidRPr="00986991">
        <w:rPr>
          <w:rFonts w:cs="Arial"/>
          <w:b w:val="0"/>
        </w:rPr>
        <w:t>2</w:t>
      </w:r>
      <w:r w:rsidR="00B360BD">
        <w:rPr>
          <w:rFonts w:cs="Arial"/>
          <w:b w:val="0"/>
        </w:rPr>
        <w:t>4</w:t>
      </w:r>
      <w:r w:rsidRPr="00986991">
        <w:rPr>
          <w:rFonts w:cs="Arial"/>
          <w:b w:val="0"/>
        </w:rPr>
        <w:t xml:space="preserve">,000. This is partly attributable to the number of school applications received which has boosted fee income levels in the period. </w:t>
      </w:r>
      <w:r w:rsidR="00896F7F">
        <w:rPr>
          <w:rFonts w:cs="Arial"/>
          <w:b w:val="0"/>
        </w:rPr>
        <w:t>P</w:t>
      </w:r>
      <w:r w:rsidR="00732FD9" w:rsidRPr="00986991">
        <w:rPr>
          <w:rFonts w:eastAsia="Times New Roman" w:cs="Arial"/>
          <w:b w:val="0"/>
          <w:lang w:eastAsia="en-GB"/>
        </w:rPr>
        <w:t xml:space="preserve">lanning fee </w:t>
      </w:r>
      <w:r w:rsidRPr="00986991">
        <w:rPr>
          <w:rFonts w:eastAsia="Times New Roman" w:cs="Arial"/>
          <w:b w:val="0"/>
          <w:lang w:eastAsia="en-GB"/>
        </w:rPr>
        <w:t xml:space="preserve">income </w:t>
      </w:r>
      <w:r w:rsidR="00896F7F">
        <w:rPr>
          <w:rFonts w:eastAsia="Times New Roman" w:cs="Arial"/>
          <w:b w:val="0"/>
          <w:lang w:eastAsia="en-GB"/>
        </w:rPr>
        <w:t xml:space="preserve">to </w:t>
      </w:r>
      <w:r w:rsidR="002479CA">
        <w:rPr>
          <w:rFonts w:eastAsia="Times New Roman" w:cs="Arial"/>
          <w:b w:val="0"/>
          <w:lang w:eastAsia="en-GB"/>
        </w:rPr>
        <w:t>September</w:t>
      </w:r>
      <w:r w:rsidR="00896F7F">
        <w:rPr>
          <w:rFonts w:eastAsia="Times New Roman" w:cs="Arial"/>
          <w:b w:val="0"/>
          <w:lang w:eastAsia="en-GB"/>
        </w:rPr>
        <w:t xml:space="preserve"> is </w:t>
      </w:r>
      <w:r w:rsidRPr="00986991">
        <w:rPr>
          <w:rFonts w:eastAsia="Times New Roman" w:cs="Arial"/>
          <w:b w:val="0"/>
          <w:lang w:eastAsia="en-GB"/>
        </w:rPr>
        <w:t>(£</w:t>
      </w:r>
      <w:r w:rsidR="00B360BD">
        <w:rPr>
          <w:rFonts w:eastAsia="Times New Roman" w:cs="Arial"/>
          <w:b w:val="0"/>
          <w:lang w:eastAsia="en-GB"/>
        </w:rPr>
        <w:t>99</w:t>
      </w:r>
      <w:r w:rsidRPr="00986991">
        <w:rPr>
          <w:rFonts w:eastAsia="Times New Roman" w:cs="Arial"/>
          <w:b w:val="0"/>
          <w:lang w:eastAsia="en-GB"/>
        </w:rPr>
        <w:t xml:space="preserve">,000) </w:t>
      </w:r>
      <w:r w:rsidR="00896F7F">
        <w:rPr>
          <w:rFonts w:eastAsia="Times New Roman" w:cs="Arial"/>
          <w:b w:val="0"/>
          <w:lang w:eastAsia="en-GB"/>
        </w:rPr>
        <w:t xml:space="preserve">higher than </w:t>
      </w:r>
      <w:r w:rsidRPr="00986991">
        <w:rPr>
          <w:rFonts w:eastAsia="Times New Roman" w:cs="Arial"/>
          <w:b w:val="0"/>
          <w:lang w:eastAsia="en-GB"/>
        </w:rPr>
        <w:t>the profiled budget</w:t>
      </w:r>
      <w:r w:rsidR="00986991" w:rsidRPr="00986991">
        <w:rPr>
          <w:rFonts w:eastAsia="Times New Roman" w:cs="Arial"/>
          <w:b w:val="0"/>
          <w:lang w:eastAsia="en-GB"/>
        </w:rPr>
        <w:t>.</w:t>
      </w:r>
      <w:r w:rsidRPr="00FD005B">
        <w:rPr>
          <w:rFonts w:eastAsia="Times New Roman" w:cs="Arial"/>
          <w:b w:val="0"/>
          <w:color w:val="FF0000"/>
          <w:lang w:eastAsia="en-GB"/>
        </w:rPr>
        <w:t xml:space="preserve"> </w:t>
      </w:r>
      <w:r w:rsidRPr="00896F7F">
        <w:rPr>
          <w:rFonts w:eastAsia="Times New Roman" w:cs="Arial"/>
          <w:b w:val="0"/>
          <w:lang w:eastAsia="en-GB"/>
        </w:rPr>
        <w:t>No projected out-turn variance is forecasted at this early stage of the year, however this is a volatile budget which will be closely monitored during the year against the forecast.  Some expected large scale planning applications have been included in the current forecasts.</w:t>
      </w:r>
      <w:r w:rsidR="00896F7F" w:rsidRPr="00896F7F">
        <w:rPr>
          <w:rFonts w:eastAsia="Times New Roman" w:cs="Arial"/>
          <w:b w:val="0"/>
          <w:lang w:eastAsia="en-GB"/>
        </w:rPr>
        <w:t xml:space="preserve"> T</w:t>
      </w:r>
      <w:r w:rsidR="00B360BD">
        <w:rPr>
          <w:rFonts w:eastAsia="Times New Roman" w:cs="Arial"/>
          <w:b w:val="0"/>
          <w:lang w:eastAsia="en-GB"/>
        </w:rPr>
        <w:t>hree</w:t>
      </w:r>
      <w:r w:rsidR="00896F7F" w:rsidRPr="00896F7F">
        <w:rPr>
          <w:rFonts w:eastAsia="Times New Roman" w:cs="Arial"/>
          <w:b w:val="0"/>
          <w:lang w:eastAsia="en-GB"/>
        </w:rPr>
        <w:t xml:space="preserve"> major applications totalling £</w:t>
      </w:r>
      <w:r w:rsidR="00B360BD">
        <w:rPr>
          <w:rFonts w:eastAsia="Times New Roman" w:cs="Arial"/>
          <w:b w:val="0"/>
          <w:lang w:eastAsia="en-GB"/>
        </w:rPr>
        <w:t>113</w:t>
      </w:r>
      <w:r w:rsidR="00896F7F" w:rsidRPr="00896F7F">
        <w:rPr>
          <w:rFonts w:eastAsia="Times New Roman" w:cs="Arial"/>
          <w:b w:val="0"/>
          <w:lang w:eastAsia="en-GB"/>
        </w:rPr>
        <w:t xml:space="preserve">,000 were received in </w:t>
      </w:r>
      <w:r w:rsidR="00B360BD">
        <w:rPr>
          <w:rFonts w:eastAsia="Times New Roman" w:cs="Arial"/>
          <w:b w:val="0"/>
          <w:lang w:eastAsia="en-GB"/>
        </w:rPr>
        <w:t xml:space="preserve">August and </w:t>
      </w:r>
      <w:r w:rsidR="002479CA">
        <w:rPr>
          <w:rFonts w:eastAsia="Times New Roman" w:cs="Arial"/>
          <w:b w:val="0"/>
          <w:lang w:eastAsia="en-GB"/>
        </w:rPr>
        <w:t>September</w:t>
      </w:r>
      <w:r w:rsidR="00D631B5">
        <w:rPr>
          <w:rFonts w:eastAsia="Times New Roman" w:cs="Arial"/>
          <w:b w:val="0"/>
          <w:lang w:eastAsia="en-GB"/>
        </w:rPr>
        <w:t xml:space="preserve"> in relation to sites at Wesley Street and Brindle Road, Bamber Bridge</w:t>
      </w:r>
      <w:r w:rsidR="00896F7F" w:rsidRPr="00896F7F">
        <w:rPr>
          <w:rFonts w:eastAsia="Times New Roman" w:cs="Arial"/>
          <w:b w:val="0"/>
          <w:lang w:eastAsia="en-GB"/>
        </w:rPr>
        <w:t xml:space="preserve">. </w:t>
      </w:r>
      <w:r w:rsidR="00B8657F">
        <w:rPr>
          <w:rFonts w:eastAsia="Times New Roman" w:cs="Arial"/>
          <w:b w:val="0"/>
          <w:lang w:eastAsia="en-GB"/>
        </w:rPr>
        <w:t xml:space="preserve"> </w:t>
      </w:r>
    </w:p>
    <w:p w14:paraId="56614ED9" w14:textId="77777777" w:rsidR="00591759" w:rsidRDefault="00591759" w:rsidP="00591759">
      <w:pPr>
        <w:spacing w:line="240" w:lineRule="auto"/>
        <w:rPr>
          <w:rFonts w:ascii="Calibri" w:eastAsia="Times New Roman" w:hAnsi="Calibri" w:cs="Times New Roman"/>
          <w:color w:val="FF0000"/>
          <w:sz w:val="18"/>
          <w:szCs w:val="18"/>
          <w:lang w:eastAsia="en-GB"/>
        </w:rPr>
      </w:pPr>
    </w:p>
    <w:p w14:paraId="50C5CDA1" w14:textId="6772D2AE" w:rsidR="00354A90" w:rsidRDefault="00591759" w:rsidP="00591759">
      <w:pPr>
        <w:spacing w:line="240" w:lineRule="auto"/>
        <w:rPr>
          <w:rFonts w:eastAsia="Times New Roman" w:cs="Arial"/>
          <w:b/>
          <w:color w:val="000000"/>
          <w:lang w:eastAsia="en-GB"/>
        </w:rPr>
      </w:pPr>
      <w:r w:rsidRPr="000E4D09">
        <w:rPr>
          <w:rFonts w:eastAsia="Times New Roman" w:cs="Arial"/>
          <w:b/>
          <w:color w:val="000000"/>
          <w:lang w:eastAsia="en-GB"/>
        </w:rPr>
        <w:t>Governance &amp; Business Transformation</w:t>
      </w:r>
    </w:p>
    <w:p w14:paraId="433E2AA6" w14:textId="77777777" w:rsidR="00732FD9" w:rsidRDefault="00732FD9" w:rsidP="00591759">
      <w:pPr>
        <w:spacing w:line="240" w:lineRule="auto"/>
        <w:rPr>
          <w:rFonts w:eastAsia="Times New Roman" w:cs="Arial"/>
          <w:b/>
          <w:color w:val="000000"/>
          <w:lang w:eastAsia="en-GB"/>
        </w:rPr>
      </w:pPr>
    </w:p>
    <w:p w14:paraId="0DC1763D" w14:textId="61F26A31" w:rsidR="00E3735D" w:rsidRPr="00F649F6" w:rsidRDefault="00E3735D" w:rsidP="00591759">
      <w:pPr>
        <w:spacing w:line="240" w:lineRule="auto"/>
        <w:rPr>
          <w:rFonts w:eastAsia="Times New Roman" w:cs="Arial"/>
          <w:lang w:eastAsia="en-GB"/>
        </w:rPr>
      </w:pPr>
      <w:r w:rsidRPr="00F649F6">
        <w:rPr>
          <w:rFonts w:eastAsia="Times New Roman" w:cs="Arial"/>
          <w:lang w:eastAsia="en-GB"/>
        </w:rPr>
        <w:t>There is a</w:t>
      </w:r>
      <w:r w:rsidR="005C299E">
        <w:rPr>
          <w:rFonts w:eastAsia="Times New Roman" w:cs="Arial"/>
          <w:lang w:eastAsia="en-GB"/>
        </w:rPr>
        <w:t>n</w:t>
      </w:r>
      <w:r w:rsidR="00B8657F">
        <w:rPr>
          <w:rFonts w:eastAsia="Times New Roman" w:cs="Arial"/>
          <w:lang w:eastAsia="en-GB"/>
        </w:rPr>
        <w:t xml:space="preserve"> </w:t>
      </w:r>
      <w:r w:rsidRPr="00F649F6">
        <w:rPr>
          <w:rFonts w:eastAsia="Times New Roman" w:cs="Arial"/>
          <w:lang w:eastAsia="en-GB"/>
        </w:rPr>
        <w:t xml:space="preserve">overspend </w:t>
      </w:r>
      <w:r w:rsidR="00871598">
        <w:rPr>
          <w:rFonts w:eastAsia="Times New Roman" w:cs="Arial"/>
          <w:lang w:eastAsia="en-GB"/>
        </w:rPr>
        <w:t xml:space="preserve">to </w:t>
      </w:r>
      <w:r w:rsidR="002479CA">
        <w:rPr>
          <w:rFonts w:eastAsia="Times New Roman" w:cs="Arial"/>
          <w:lang w:eastAsia="en-GB"/>
        </w:rPr>
        <w:t>September</w:t>
      </w:r>
      <w:r w:rsidR="00871598">
        <w:rPr>
          <w:rFonts w:eastAsia="Times New Roman" w:cs="Arial"/>
          <w:lang w:eastAsia="en-GB"/>
        </w:rPr>
        <w:t xml:space="preserve"> </w:t>
      </w:r>
      <w:r w:rsidRPr="00F649F6">
        <w:rPr>
          <w:rFonts w:eastAsia="Times New Roman" w:cs="Arial"/>
          <w:lang w:eastAsia="en-GB"/>
        </w:rPr>
        <w:t>of £</w:t>
      </w:r>
      <w:r w:rsidR="00B8657F">
        <w:rPr>
          <w:rFonts w:eastAsia="Times New Roman" w:cs="Arial"/>
          <w:lang w:eastAsia="en-GB"/>
        </w:rPr>
        <w:t>44</w:t>
      </w:r>
      <w:r w:rsidRPr="00F649F6">
        <w:rPr>
          <w:rFonts w:eastAsia="Times New Roman" w:cs="Arial"/>
          <w:lang w:eastAsia="en-GB"/>
        </w:rPr>
        <w:t>,000 in the budgets for this directorate</w:t>
      </w:r>
      <w:r w:rsidR="00871598">
        <w:rPr>
          <w:rFonts w:eastAsia="Times New Roman" w:cs="Arial"/>
          <w:lang w:eastAsia="en-GB"/>
        </w:rPr>
        <w:t xml:space="preserve"> which is partly due to unforeseen severance costs (£36,000). There were offsetting underspends including £</w:t>
      </w:r>
      <w:r w:rsidR="00B8657F">
        <w:rPr>
          <w:rFonts w:eastAsia="Times New Roman" w:cs="Arial"/>
          <w:lang w:eastAsia="en-GB"/>
        </w:rPr>
        <w:t>22</w:t>
      </w:r>
      <w:r w:rsidR="00871598">
        <w:rPr>
          <w:rFonts w:eastAsia="Times New Roman" w:cs="Arial"/>
          <w:lang w:eastAsia="en-GB"/>
        </w:rPr>
        <w:t xml:space="preserve">,000 in relation to the landlord incentive scheme due to a lower take up than anticipated in the budget forecasts. </w:t>
      </w:r>
    </w:p>
    <w:p w14:paraId="22B7277E" w14:textId="3ECA58BE" w:rsidR="00591759" w:rsidRDefault="00591759" w:rsidP="00591759">
      <w:r w:rsidRPr="00DF41A8">
        <w:t>Recovery of housing benefit overpayments is £1</w:t>
      </w:r>
      <w:r w:rsidR="00B8657F">
        <w:t>4</w:t>
      </w:r>
      <w:r w:rsidRPr="00DF41A8">
        <w:t xml:space="preserve">,000 less than budgeted in the first </w:t>
      </w:r>
      <w:r w:rsidR="00B8657F">
        <w:t>6</w:t>
      </w:r>
      <w:r w:rsidRPr="00DF41A8">
        <w:t xml:space="preserve"> months of the year</w:t>
      </w:r>
      <w:r w:rsidR="00DF41A8" w:rsidRPr="00DF41A8">
        <w:t>.</w:t>
      </w:r>
      <w:r w:rsidR="00B8657F">
        <w:t xml:space="preserve"> </w:t>
      </w:r>
      <w:r w:rsidRPr="00DF41A8">
        <w:t xml:space="preserve">The nature of housing benefits profiles throughout the year is volatile and fluctuates year on year and therefore </w:t>
      </w:r>
      <w:r w:rsidRPr="00DF41A8">
        <w:lastRenderedPageBreak/>
        <w:t>variations invariably occur. No out-turn variance is anticipated at th</w:t>
      </w:r>
      <w:r w:rsidR="00DF41A8">
        <w:t xml:space="preserve">is stage </w:t>
      </w:r>
      <w:r w:rsidRPr="00DF41A8">
        <w:t>but this budget will continue to be closely monitored each month and any permanent, material variation reported accordingly.</w:t>
      </w:r>
    </w:p>
    <w:p w14:paraId="289A646C" w14:textId="77777777" w:rsidR="00871598" w:rsidRDefault="00871598" w:rsidP="00591759"/>
    <w:p w14:paraId="5E8E5C50" w14:textId="347F3102" w:rsidR="00591759" w:rsidRDefault="00F914C0" w:rsidP="00024833">
      <w:pPr>
        <w:rPr>
          <w:rFonts w:eastAsia="Times New Roman" w:cs="Arial"/>
          <w:b/>
          <w:color w:val="000000"/>
          <w:lang w:eastAsia="en-GB"/>
        </w:rPr>
      </w:pPr>
      <w:r w:rsidRPr="000E4D09">
        <w:rPr>
          <w:rFonts w:eastAsia="Times New Roman" w:cs="Arial"/>
          <w:b/>
          <w:color w:val="000000"/>
          <w:lang w:eastAsia="en-GB"/>
        </w:rPr>
        <w:t>Neighbourhood Environment &amp; Asset Management</w:t>
      </w:r>
    </w:p>
    <w:p w14:paraId="42F6EEA8" w14:textId="77777777" w:rsidR="00732FD9" w:rsidRDefault="00732FD9" w:rsidP="00024833"/>
    <w:p w14:paraId="32D8C8FE" w14:textId="2D0AD5DF" w:rsidR="00CD36FF" w:rsidRPr="00EE6197" w:rsidRDefault="00F914C0" w:rsidP="00F914C0">
      <w:r w:rsidRPr="00496519">
        <w:t>Th</w:t>
      </w:r>
      <w:r w:rsidR="00496519" w:rsidRPr="00496519">
        <w:t xml:space="preserve">e overall </w:t>
      </w:r>
      <w:r w:rsidR="00EC7E6F">
        <w:t xml:space="preserve">budget </w:t>
      </w:r>
      <w:r w:rsidR="00496519" w:rsidRPr="00496519">
        <w:t xml:space="preserve">variance in the </w:t>
      </w:r>
      <w:r w:rsidR="00B8657F">
        <w:t>six</w:t>
      </w:r>
      <w:r w:rsidR="00496519" w:rsidRPr="00496519">
        <w:t xml:space="preserve"> months to </w:t>
      </w:r>
      <w:r w:rsidR="002479CA">
        <w:t>September</w:t>
      </w:r>
      <w:r w:rsidRPr="00496519">
        <w:t xml:space="preserve"> was a £</w:t>
      </w:r>
      <w:r w:rsidR="00B8657F">
        <w:t>32</w:t>
      </w:r>
      <w:r w:rsidRPr="00496519">
        <w:t>,000 net overspend</w:t>
      </w:r>
      <w:r w:rsidR="00E60A26" w:rsidRPr="00E60A26">
        <w:rPr>
          <w:rFonts w:eastAsia="Times New Roman" w:cs="Arial"/>
          <w:lang w:eastAsia="en-GB"/>
        </w:rPr>
        <w:t xml:space="preserve"> </w:t>
      </w:r>
      <w:r w:rsidR="00E60A26">
        <w:rPr>
          <w:rFonts w:eastAsia="Times New Roman" w:cs="Arial"/>
          <w:lang w:eastAsia="en-GB"/>
        </w:rPr>
        <w:t>which is partly due to unforeseen severance costs (£68,000) offset by net savings of £</w:t>
      </w:r>
      <w:r w:rsidR="00B8657F">
        <w:rPr>
          <w:rFonts w:eastAsia="Times New Roman" w:cs="Arial"/>
          <w:lang w:eastAsia="en-GB"/>
        </w:rPr>
        <w:t>36</w:t>
      </w:r>
      <w:r w:rsidR="00E60A26">
        <w:rPr>
          <w:rFonts w:eastAsia="Times New Roman" w:cs="Arial"/>
          <w:lang w:eastAsia="en-GB"/>
        </w:rPr>
        <w:t>,000.</w:t>
      </w:r>
      <w:r w:rsidRPr="00FD005B">
        <w:rPr>
          <w:color w:val="FF0000"/>
        </w:rPr>
        <w:t xml:space="preserve"> </w:t>
      </w:r>
      <w:r w:rsidR="00CD36FF" w:rsidRPr="00EE6197">
        <w:t>There is an overall underspend of £</w:t>
      </w:r>
      <w:r w:rsidR="00B8657F">
        <w:t>57</w:t>
      </w:r>
      <w:r w:rsidR="00CD36FF" w:rsidRPr="00EE6197">
        <w:t>,000 on premises costs</w:t>
      </w:r>
      <w:r w:rsidR="00063C58" w:rsidRPr="00EE6197">
        <w:t xml:space="preserve"> of which </w:t>
      </w:r>
      <w:r w:rsidR="00CD36FF" w:rsidRPr="00EE6197">
        <w:t>£</w:t>
      </w:r>
      <w:r w:rsidR="00B8657F">
        <w:t>34</w:t>
      </w:r>
      <w:r w:rsidR="00CD36FF" w:rsidRPr="00EE6197">
        <w:t xml:space="preserve">,000 </w:t>
      </w:r>
      <w:r w:rsidR="00063C58" w:rsidRPr="00EE6197">
        <w:t xml:space="preserve">relates to </w:t>
      </w:r>
      <w:r w:rsidR="00CD36FF" w:rsidRPr="00EE6197">
        <w:t xml:space="preserve">reactive repair and maintenance budgets which invariably do not conform </w:t>
      </w:r>
      <w:r w:rsidR="00732FD9" w:rsidRPr="00EE6197">
        <w:t xml:space="preserve">by nature </w:t>
      </w:r>
      <w:r w:rsidR="00CD36FF" w:rsidRPr="00EE6197">
        <w:t>to predetermined spend profiles</w:t>
      </w:r>
      <w:r w:rsidR="00B8657F">
        <w:t>,</w:t>
      </w:r>
      <w:r w:rsidR="00063C58" w:rsidRPr="00EE6197">
        <w:t xml:space="preserve"> </w:t>
      </w:r>
      <w:r w:rsidR="00CD36FF" w:rsidRPr="00EE6197">
        <w:t>£</w:t>
      </w:r>
      <w:r w:rsidR="00063C58" w:rsidRPr="00EE6197">
        <w:t>1</w:t>
      </w:r>
      <w:r w:rsidR="00B8657F">
        <w:t>5</w:t>
      </w:r>
      <w:r w:rsidR="00CD36FF" w:rsidRPr="00EE6197">
        <w:t xml:space="preserve">,000 </w:t>
      </w:r>
      <w:r w:rsidR="00B8657F">
        <w:t xml:space="preserve">savings </w:t>
      </w:r>
      <w:r w:rsidR="00CD36FF" w:rsidRPr="00EE6197">
        <w:t xml:space="preserve">on </w:t>
      </w:r>
      <w:r w:rsidR="00B8657F">
        <w:t>business rates due to lower voids than forecast £8</w:t>
      </w:r>
      <w:r w:rsidR="00EE6197" w:rsidRPr="00EE6197">
        <w:t xml:space="preserve">,000 on </w:t>
      </w:r>
      <w:r w:rsidR="00CD36FF" w:rsidRPr="00EE6197">
        <w:t>non-material variations</w:t>
      </w:r>
      <w:r w:rsidR="00063C58" w:rsidRPr="00EE6197">
        <w:t>.</w:t>
      </w:r>
    </w:p>
    <w:p w14:paraId="36AB67F0" w14:textId="77777777" w:rsidR="00CD36FF" w:rsidRPr="00FD005B" w:rsidRDefault="00CD36FF" w:rsidP="00F914C0">
      <w:pPr>
        <w:rPr>
          <w:color w:val="FF0000"/>
        </w:rPr>
      </w:pPr>
    </w:p>
    <w:p w14:paraId="09E0420E" w14:textId="761FC589" w:rsidR="00F914C0" w:rsidRPr="008A46E4" w:rsidRDefault="00F914C0" w:rsidP="00F914C0">
      <w:r w:rsidRPr="008A46E4">
        <w:t>The income budget for New Bins consists of £45</w:t>
      </w:r>
      <w:r w:rsidR="00B8657F">
        <w:t>,000</w:t>
      </w:r>
      <w:r w:rsidRPr="008A46E4">
        <w:t xml:space="preserve"> for new properties and the new approved budget of £30</w:t>
      </w:r>
      <w:r w:rsidR="00B8657F">
        <w:t>,000</w:t>
      </w:r>
      <w:r w:rsidRPr="008A46E4">
        <w:t xml:space="preserve"> which is profiled to be received across the later part of the year.  Income for new properties is behind the current profile, however, developments are coming forward and it is expected that this income stream will come back into line later in the year.</w:t>
      </w:r>
    </w:p>
    <w:p w14:paraId="25B3D4FB" w14:textId="77777777" w:rsidR="00391A62" w:rsidRPr="008A46E4" w:rsidRDefault="00391A62" w:rsidP="00391A62"/>
    <w:p w14:paraId="60B3B9FB" w14:textId="249A4DDA" w:rsidR="00AE3E5B" w:rsidRDefault="00024833" w:rsidP="00B8657F">
      <w:pPr>
        <w:pStyle w:val="Heading2"/>
      </w:pPr>
      <w:r>
        <w:t>Income</w:t>
      </w:r>
    </w:p>
    <w:p w14:paraId="5E0E2BD0" w14:textId="37A6E799" w:rsidR="00AE3E5B" w:rsidRDefault="00AE3E5B" w:rsidP="00AE3E5B">
      <w:r>
        <w:t>The income budgets below are highlighted as a detailed separate item in order to report transparently on budget heads that have a higher risk profile due to the fact they are affected by factors that may be out of the direct control of Budget Holders.  Due to their value, any material variations against budget have the ability to impact significantly on our overall revenue budget position and need to be closely monitored.</w:t>
      </w:r>
    </w:p>
    <w:p w14:paraId="7E38A52A" w14:textId="77777777" w:rsidR="00732FD9" w:rsidRDefault="00732FD9" w:rsidP="00AE3E5B"/>
    <w:p w14:paraId="3E174534" w14:textId="77777777" w:rsidR="00812E14" w:rsidRDefault="00812E14" w:rsidP="00812E14">
      <w:r w:rsidRPr="00024833">
        <w:t>The table below provides a summary of the Council’s main income streams:</w:t>
      </w:r>
    </w:p>
    <w:p w14:paraId="1DC6B881" w14:textId="77777777" w:rsidR="00812E14" w:rsidRPr="00812E14" w:rsidRDefault="00812E14" w:rsidP="00812E14"/>
    <w:tbl>
      <w:tblPr>
        <w:tblW w:w="9800" w:type="dxa"/>
        <w:tblLook w:val="04A0" w:firstRow="1" w:lastRow="0" w:firstColumn="1" w:lastColumn="0" w:noHBand="0" w:noVBand="1"/>
      </w:tblPr>
      <w:tblGrid>
        <w:gridCol w:w="2840"/>
        <w:gridCol w:w="1240"/>
        <w:gridCol w:w="1340"/>
        <w:gridCol w:w="1660"/>
        <w:gridCol w:w="1222"/>
        <w:gridCol w:w="1498"/>
      </w:tblGrid>
      <w:tr w:rsidR="00027BF3" w:rsidRPr="00027BF3" w14:paraId="28DBFD41" w14:textId="77777777" w:rsidTr="00A87E19">
        <w:trPr>
          <w:trHeight w:val="600"/>
        </w:trPr>
        <w:tc>
          <w:tcPr>
            <w:tcW w:w="2840" w:type="dxa"/>
            <w:tcBorders>
              <w:top w:val="single" w:sz="4" w:space="0" w:color="auto"/>
              <w:right w:val="single" w:sz="8" w:space="0" w:color="auto"/>
            </w:tcBorders>
            <w:shd w:val="clear" w:color="auto" w:fill="B4C6E7" w:themeFill="accent5" w:themeFillTint="66"/>
            <w:vAlign w:val="center"/>
            <w:hideMark/>
          </w:tcPr>
          <w:p w14:paraId="6BA0F3D1" w14:textId="77777777" w:rsidR="00812E14" w:rsidRPr="00212006" w:rsidRDefault="00812E14" w:rsidP="00812E14">
            <w:pPr>
              <w:spacing w:line="240" w:lineRule="auto"/>
              <w:jc w:val="left"/>
              <w:rPr>
                <w:rFonts w:ascii="Calibri" w:eastAsia="Times New Roman" w:hAnsi="Calibri" w:cs="Times New Roman"/>
                <w:b/>
                <w:bCs/>
                <w:lang w:eastAsia="en-GB"/>
              </w:rPr>
            </w:pPr>
            <w:r w:rsidRPr="00212006">
              <w:rPr>
                <w:rFonts w:ascii="Calibri" w:eastAsia="Times New Roman" w:hAnsi="Calibri" w:cs="Times New Roman"/>
                <w:b/>
                <w:bCs/>
                <w:lang w:eastAsia="en-GB"/>
              </w:rPr>
              <w:t>Description</w:t>
            </w:r>
          </w:p>
        </w:tc>
        <w:tc>
          <w:tcPr>
            <w:tcW w:w="1240" w:type="dxa"/>
            <w:tcBorders>
              <w:top w:val="single" w:sz="4" w:space="0" w:color="auto"/>
              <w:left w:val="nil"/>
              <w:right w:val="single" w:sz="8" w:space="0" w:color="auto"/>
            </w:tcBorders>
            <w:shd w:val="clear" w:color="auto" w:fill="B4C6E7" w:themeFill="accent5" w:themeFillTint="66"/>
            <w:vAlign w:val="center"/>
            <w:hideMark/>
          </w:tcPr>
          <w:p w14:paraId="18B699A8" w14:textId="77777777" w:rsidR="00812E14" w:rsidRPr="00212006" w:rsidRDefault="00F4562A"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Annual Budget</w:t>
            </w:r>
          </w:p>
        </w:tc>
        <w:tc>
          <w:tcPr>
            <w:tcW w:w="1340" w:type="dxa"/>
            <w:tcBorders>
              <w:top w:val="single" w:sz="4" w:space="0" w:color="auto"/>
              <w:left w:val="nil"/>
              <w:right w:val="single" w:sz="8" w:space="0" w:color="auto"/>
            </w:tcBorders>
            <w:shd w:val="clear" w:color="auto" w:fill="B4C6E7" w:themeFill="accent5" w:themeFillTint="66"/>
            <w:vAlign w:val="center"/>
            <w:hideMark/>
          </w:tcPr>
          <w:p w14:paraId="303177E8"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Profiled Budget</w:t>
            </w:r>
          </w:p>
        </w:tc>
        <w:tc>
          <w:tcPr>
            <w:tcW w:w="1660" w:type="dxa"/>
            <w:tcBorders>
              <w:top w:val="single" w:sz="4" w:space="0" w:color="auto"/>
              <w:left w:val="nil"/>
              <w:right w:val="single" w:sz="8" w:space="0" w:color="auto"/>
            </w:tcBorders>
            <w:shd w:val="clear" w:color="auto" w:fill="B4C6E7" w:themeFill="accent5" w:themeFillTint="66"/>
            <w:vAlign w:val="center"/>
            <w:hideMark/>
          </w:tcPr>
          <w:p w14:paraId="74D1C9C2" w14:textId="2F829456" w:rsidR="00812E14" w:rsidRPr="00212006" w:rsidRDefault="00812E14" w:rsidP="00FD005B">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 xml:space="preserve">Actual to </w:t>
            </w:r>
            <w:r w:rsidR="002479CA">
              <w:rPr>
                <w:rFonts w:ascii="Calibri" w:eastAsia="Times New Roman" w:hAnsi="Calibri" w:cs="Times New Roman"/>
                <w:b/>
                <w:bCs/>
                <w:lang w:eastAsia="en-GB"/>
              </w:rPr>
              <w:t>September</w:t>
            </w:r>
          </w:p>
        </w:tc>
        <w:tc>
          <w:tcPr>
            <w:tcW w:w="1222" w:type="dxa"/>
            <w:tcBorders>
              <w:top w:val="single" w:sz="4" w:space="0" w:color="auto"/>
              <w:left w:val="nil"/>
              <w:right w:val="single" w:sz="8" w:space="0" w:color="auto"/>
            </w:tcBorders>
            <w:shd w:val="clear" w:color="auto" w:fill="B4C6E7" w:themeFill="accent5" w:themeFillTint="66"/>
            <w:vAlign w:val="center"/>
            <w:hideMark/>
          </w:tcPr>
          <w:p w14:paraId="2F360672"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Variance to</w:t>
            </w:r>
          </w:p>
          <w:p w14:paraId="46A21DB4" w14:textId="63EB9339" w:rsidR="00F4562A" w:rsidRPr="00212006" w:rsidRDefault="002479CA" w:rsidP="00C52B1F">
            <w:pPr>
              <w:spacing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September</w:t>
            </w:r>
          </w:p>
        </w:tc>
        <w:tc>
          <w:tcPr>
            <w:tcW w:w="1498" w:type="dxa"/>
            <w:tcBorders>
              <w:top w:val="single" w:sz="4" w:space="0" w:color="auto"/>
              <w:left w:val="nil"/>
            </w:tcBorders>
            <w:shd w:val="clear" w:color="auto" w:fill="B4C6E7" w:themeFill="accent5" w:themeFillTint="66"/>
            <w:vAlign w:val="center"/>
            <w:hideMark/>
          </w:tcPr>
          <w:p w14:paraId="545A5782" w14:textId="77777777" w:rsidR="00812E14" w:rsidRPr="00212006" w:rsidRDefault="00905B91"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Forecast Outturn</w:t>
            </w:r>
            <w:r w:rsidR="00812E14" w:rsidRPr="00212006">
              <w:rPr>
                <w:rFonts w:ascii="Calibri" w:eastAsia="Times New Roman" w:hAnsi="Calibri" w:cs="Times New Roman"/>
                <w:b/>
                <w:bCs/>
                <w:lang w:eastAsia="en-GB"/>
              </w:rPr>
              <w:t xml:space="preserve"> Variance</w:t>
            </w:r>
          </w:p>
        </w:tc>
      </w:tr>
      <w:tr w:rsidR="00027BF3" w:rsidRPr="00027BF3" w14:paraId="6F570057" w14:textId="77777777" w:rsidTr="00A87E19">
        <w:trPr>
          <w:trHeight w:val="494"/>
        </w:trPr>
        <w:tc>
          <w:tcPr>
            <w:tcW w:w="2840" w:type="dxa"/>
            <w:tcBorders>
              <w:bottom w:val="single" w:sz="4" w:space="0" w:color="auto"/>
              <w:right w:val="single" w:sz="8" w:space="0" w:color="auto"/>
            </w:tcBorders>
            <w:shd w:val="clear" w:color="auto" w:fill="B4C6E7" w:themeFill="accent5" w:themeFillTint="66"/>
            <w:vAlign w:val="center"/>
            <w:hideMark/>
          </w:tcPr>
          <w:p w14:paraId="1A8F7717" w14:textId="77777777" w:rsidR="00812E14" w:rsidRPr="00212006" w:rsidRDefault="00812E14" w:rsidP="00812E14">
            <w:pPr>
              <w:spacing w:line="240" w:lineRule="auto"/>
              <w:jc w:val="left"/>
              <w:rPr>
                <w:rFonts w:ascii="Calibri" w:eastAsia="Times New Roman" w:hAnsi="Calibri" w:cs="Times New Roman"/>
                <w:b/>
                <w:bCs/>
                <w:lang w:eastAsia="en-GB"/>
              </w:rPr>
            </w:pPr>
            <w:r w:rsidRPr="00212006">
              <w:rPr>
                <w:rFonts w:ascii="Calibri" w:eastAsia="Times New Roman" w:hAnsi="Calibri" w:cs="Times New Roman"/>
                <w:b/>
                <w:bCs/>
                <w:lang w:eastAsia="en-GB"/>
              </w:rPr>
              <w:t> </w:t>
            </w:r>
          </w:p>
        </w:tc>
        <w:tc>
          <w:tcPr>
            <w:tcW w:w="1240" w:type="dxa"/>
            <w:tcBorders>
              <w:left w:val="nil"/>
              <w:bottom w:val="single" w:sz="4" w:space="0" w:color="auto"/>
              <w:right w:val="single" w:sz="8" w:space="0" w:color="auto"/>
            </w:tcBorders>
            <w:shd w:val="clear" w:color="auto" w:fill="B4C6E7" w:themeFill="accent5" w:themeFillTint="66"/>
            <w:vAlign w:val="center"/>
            <w:hideMark/>
          </w:tcPr>
          <w:p w14:paraId="0CD863FB"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 £</w:t>
            </w:r>
          </w:p>
        </w:tc>
        <w:tc>
          <w:tcPr>
            <w:tcW w:w="1340" w:type="dxa"/>
            <w:tcBorders>
              <w:left w:val="nil"/>
              <w:bottom w:val="single" w:sz="4" w:space="0" w:color="auto"/>
              <w:right w:val="single" w:sz="8" w:space="0" w:color="auto"/>
            </w:tcBorders>
            <w:shd w:val="clear" w:color="auto" w:fill="B4C6E7" w:themeFill="accent5" w:themeFillTint="66"/>
            <w:vAlign w:val="center"/>
            <w:hideMark/>
          </w:tcPr>
          <w:p w14:paraId="6480579E"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w:t>
            </w:r>
          </w:p>
        </w:tc>
        <w:tc>
          <w:tcPr>
            <w:tcW w:w="1660" w:type="dxa"/>
            <w:tcBorders>
              <w:left w:val="nil"/>
              <w:bottom w:val="single" w:sz="4" w:space="0" w:color="auto"/>
              <w:right w:val="single" w:sz="8" w:space="0" w:color="auto"/>
            </w:tcBorders>
            <w:shd w:val="clear" w:color="auto" w:fill="B4C6E7" w:themeFill="accent5" w:themeFillTint="66"/>
            <w:vAlign w:val="center"/>
            <w:hideMark/>
          </w:tcPr>
          <w:p w14:paraId="2AAE3486"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w:t>
            </w:r>
          </w:p>
        </w:tc>
        <w:tc>
          <w:tcPr>
            <w:tcW w:w="1222" w:type="dxa"/>
            <w:tcBorders>
              <w:left w:val="nil"/>
              <w:bottom w:val="single" w:sz="4" w:space="0" w:color="auto"/>
              <w:right w:val="single" w:sz="8" w:space="0" w:color="auto"/>
            </w:tcBorders>
            <w:shd w:val="clear" w:color="auto" w:fill="B4C6E7" w:themeFill="accent5" w:themeFillTint="66"/>
            <w:vAlign w:val="center"/>
            <w:hideMark/>
          </w:tcPr>
          <w:p w14:paraId="7821B046"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w:t>
            </w:r>
          </w:p>
        </w:tc>
        <w:tc>
          <w:tcPr>
            <w:tcW w:w="1498" w:type="dxa"/>
            <w:tcBorders>
              <w:left w:val="nil"/>
              <w:bottom w:val="single" w:sz="4" w:space="0" w:color="auto"/>
            </w:tcBorders>
            <w:shd w:val="clear" w:color="auto" w:fill="B4C6E7" w:themeFill="accent5" w:themeFillTint="66"/>
            <w:vAlign w:val="center"/>
            <w:hideMark/>
          </w:tcPr>
          <w:p w14:paraId="3F746517" w14:textId="77777777" w:rsidR="00812E14" w:rsidRPr="00212006" w:rsidRDefault="00812E14" w:rsidP="00812E14">
            <w:pPr>
              <w:spacing w:line="240" w:lineRule="auto"/>
              <w:jc w:val="center"/>
              <w:rPr>
                <w:rFonts w:ascii="Calibri" w:eastAsia="Times New Roman" w:hAnsi="Calibri" w:cs="Times New Roman"/>
                <w:b/>
                <w:bCs/>
                <w:lang w:eastAsia="en-GB"/>
              </w:rPr>
            </w:pPr>
            <w:r w:rsidRPr="00212006">
              <w:rPr>
                <w:rFonts w:ascii="Calibri" w:eastAsia="Times New Roman" w:hAnsi="Calibri" w:cs="Times New Roman"/>
                <w:b/>
                <w:bCs/>
                <w:lang w:eastAsia="en-GB"/>
              </w:rPr>
              <w:t>£</w:t>
            </w:r>
          </w:p>
        </w:tc>
      </w:tr>
      <w:tr w:rsidR="00812E14" w:rsidRPr="00812E14" w14:paraId="49B4E6ED"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77B4F367"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Building Control Fees</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73EAA289" w14:textId="755A0E6F"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150,000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0B6A662C" w14:textId="234D9DE3" w:rsidR="00812E14" w:rsidRPr="00662305" w:rsidRDefault="00662305" w:rsidP="00662305">
            <w:pPr>
              <w:spacing w:line="240" w:lineRule="auto"/>
              <w:jc w:val="right"/>
              <w:rPr>
                <w:rFonts w:ascii="Calibri" w:eastAsia="Times New Roman" w:hAnsi="Calibri" w:cs="Times New Roman"/>
                <w:lang w:eastAsia="en-GB"/>
              </w:rPr>
            </w:pPr>
            <w:r w:rsidRPr="00662305">
              <w:rPr>
                <w:rFonts w:ascii="Calibri" w:eastAsia="Times New Roman" w:hAnsi="Calibri" w:cs="Times New Roman"/>
                <w:lang w:eastAsia="en-GB"/>
              </w:rPr>
              <w:t>(75,030)</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0BDE57F7" w14:textId="1FF430FF" w:rsidR="00812E14" w:rsidRPr="009F2CF2" w:rsidRDefault="00823017" w:rsidP="003A1B44">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w:t>
            </w:r>
            <w:r w:rsidR="00986991" w:rsidRPr="009F2CF2">
              <w:rPr>
                <w:rFonts w:ascii="Calibri" w:eastAsia="Times New Roman" w:hAnsi="Calibri" w:cs="Times New Roman"/>
                <w:lang w:eastAsia="en-GB"/>
              </w:rPr>
              <w:t>9</w:t>
            </w:r>
            <w:r w:rsidRPr="009F2CF2">
              <w:rPr>
                <w:rFonts w:ascii="Calibri" w:eastAsia="Times New Roman" w:hAnsi="Calibri" w:cs="Times New Roman"/>
                <w:lang w:eastAsia="en-GB"/>
              </w:rPr>
              <w:t>8</w:t>
            </w:r>
            <w:r w:rsidR="003A1B44">
              <w:rPr>
                <w:rFonts w:ascii="Calibri" w:eastAsia="Times New Roman" w:hAnsi="Calibri" w:cs="Times New Roman"/>
                <w:lang w:eastAsia="en-GB"/>
              </w:rPr>
              <w:t>,</w:t>
            </w:r>
            <w:r w:rsidRPr="009F2CF2">
              <w:rPr>
                <w:rFonts w:ascii="Calibri" w:eastAsia="Times New Roman" w:hAnsi="Calibri" w:cs="Times New Roman"/>
                <w:lang w:eastAsia="en-GB"/>
              </w:rPr>
              <w:t>605)</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6BE15820" w14:textId="7EC3245E" w:rsidR="00812E14" w:rsidRPr="0056537D" w:rsidRDefault="00C05558" w:rsidP="00C05558">
            <w:pPr>
              <w:spacing w:line="240" w:lineRule="auto"/>
              <w:jc w:val="right"/>
              <w:rPr>
                <w:rFonts w:ascii="Calibri" w:eastAsia="Times New Roman" w:hAnsi="Calibri" w:cs="Times New Roman"/>
                <w:lang w:eastAsia="en-GB"/>
              </w:rPr>
            </w:pPr>
            <w:r w:rsidRPr="0056537D">
              <w:rPr>
                <w:rFonts w:ascii="Calibri" w:eastAsia="Times New Roman" w:hAnsi="Calibri" w:cs="Times New Roman"/>
                <w:lang w:eastAsia="en-GB"/>
              </w:rPr>
              <w:t>23,575</w:t>
            </w:r>
          </w:p>
        </w:tc>
        <w:tc>
          <w:tcPr>
            <w:tcW w:w="1498" w:type="dxa"/>
            <w:tcBorders>
              <w:top w:val="single" w:sz="4" w:space="0" w:color="auto"/>
              <w:left w:val="nil"/>
              <w:bottom w:val="single" w:sz="4" w:space="0" w:color="auto"/>
            </w:tcBorders>
            <w:shd w:val="clear" w:color="auto" w:fill="auto"/>
            <w:noWrap/>
            <w:vAlign w:val="center"/>
            <w:hideMark/>
          </w:tcPr>
          <w:p w14:paraId="3EFEA2B6"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812E14" w14:paraId="7CDDB708"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3C0BDE86"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Car Parking Charges</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2E649F03" w14:textId="7EDB5D18" w:rsidR="00812E14" w:rsidRPr="00812E14" w:rsidRDefault="002945D5" w:rsidP="00812E14">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92,512</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6534F1E1" w14:textId="56A2D523" w:rsidR="00812E14" w:rsidRPr="00662305" w:rsidRDefault="00662305" w:rsidP="00662305">
            <w:pPr>
              <w:spacing w:line="240" w:lineRule="auto"/>
              <w:jc w:val="right"/>
              <w:rPr>
                <w:rFonts w:ascii="Calibri" w:eastAsia="Times New Roman" w:hAnsi="Calibri" w:cs="Times New Roman"/>
                <w:lang w:eastAsia="en-GB"/>
              </w:rPr>
            </w:pPr>
            <w:r w:rsidRPr="00662305">
              <w:rPr>
                <w:rFonts w:ascii="Calibri" w:eastAsia="Times New Roman" w:hAnsi="Calibri" w:cs="Times New Roman"/>
                <w:lang w:eastAsia="en-GB"/>
              </w:rPr>
              <w:t>(46,274)</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3B3042FE" w14:textId="55DE081C" w:rsidR="00812E14" w:rsidRPr="009F2CF2" w:rsidRDefault="00823017" w:rsidP="00823017">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(51,850)</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4586E696" w14:textId="33E0BBD6" w:rsidR="00812E14" w:rsidRPr="0056537D" w:rsidRDefault="00C05558" w:rsidP="00C05558">
            <w:pPr>
              <w:spacing w:line="240" w:lineRule="auto"/>
              <w:jc w:val="right"/>
              <w:rPr>
                <w:rFonts w:ascii="Calibri" w:eastAsia="Times New Roman" w:hAnsi="Calibri" w:cs="Times New Roman"/>
                <w:lang w:eastAsia="en-GB"/>
              </w:rPr>
            </w:pPr>
            <w:r w:rsidRPr="0056537D">
              <w:rPr>
                <w:rFonts w:ascii="Calibri" w:eastAsia="Times New Roman" w:hAnsi="Calibri" w:cs="Times New Roman"/>
                <w:lang w:eastAsia="en-GB"/>
              </w:rPr>
              <w:t>5,576</w:t>
            </w:r>
          </w:p>
        </w:tc>
        <w:tc>
          <w:tcPr>
            <w:tcW w:w="1498" w:type="dxa"/>
            <w:tcBorders>
              <w:top w:val="single" w:sz="4" w:space="0" w:color="auto"/>
              <w:left w:val="nil"/>
              <w:bottom w:val="single" w:sz="4" w:space="0" w:color="auto"/>
            </w:tcBorders>
            <w:shd w:val="clear" w:color="auto" w:fill="auto"/>
            <w:noWrap/>
            <w:vAlign w:val="center"/>
            <w:hideMark/>
          </w:tcPr>
          <w:p w14:paraId="6348D9F0"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812E14" w14:paraId="782D4D2B"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60C3AEDB"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Domestic Waste - new bins</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4E17F8A0" w14:textId="4C155339"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75,000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08A9EFA4" w14:textId="3BBE53DE" w:rsidR="00812E14" w:rsidRPr="00BD0360" w:rsidRDefault="00BD0360" w:rsidP="00BD0360">
            <w:pPr>
              <w:spacing w:line="240" w:lineRule="auto"/>
              <w:jc w:val="right"/>
              <w:rPr>
                <w:rFonts w:ascii="Calibri" w:eastAsia="Times New Roman" w:hAnsi="Calibri" w:cs="Times New Roman"/>
                <w:lang w:eastAsia="en-GB"/>
              </w:rPr>
            </w:pPr>
            <w:r w:rsidRPr="00BD0360">
              <w:rPr>
                <w:rFonts w:ascii="Calibri" w:eastAsia="Times New Roman" w:hAnsi="Calibri" w:cs="Times New Roman"/>
                <w:lang w:eastAsia="en-GB"/>
              </w:rPr>
              <w:t>(30,006)</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7A5B0E10" w14:textId="0671BE80" w:rsidR="00812E14" w:rsidRPr="00BD0360" w:rsidRDefault="00BD0360" w:rsidP="00BD0360">
            <w:pPr>
              <w:spacing w:line="240" w:lineRule="auto"/>
              <w:jc w:val="right"/>
              <w:rPr>
                <w:rFonts w:ascii="Calibri" w:eastAsia="Times New Roman" w:hAnsi="Calibri" w:cs="Times New Roman"/>
                <w:lang w:eastAsia="en-GB"/>
              </w:rPr>
            </w:pPr>
            <w:r w:rsidRPr="00BD0360">
              <w:rPr>
                <w:rFonts w:ascii="Calibri" w:eastAsia="Times New Roman" w:hAnsi="Calibri" w:cs="Times New Roman"/>
                <w:lang w:eastAsia="en-GB"/>
              </w:rPr>
              <w:t>(18,808)</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12377174" w14:textId="675B8553" w:rsidR="00812E14" w:rsidRPr="0056537D" w:rsidRDefault="003A1B44" w:rsidP="003A1B44">
            <w:pPr>
              <w:spacing w:line="240" w:lineRule="auto"/>
              <w:jc w:val="right"/>
              <w:rPr>
                <w:rFonts w:ascii="Calibri" w:eastAsia="Times New Roman" w:hAnsi="Calibri" w:cs="Times New Roman"/>
                <w:lang w:eastAsia="en-GB"/>
              </w:rPr>
            </w:pPr>
            <w:r>
              <w:rPr>
                <w:rFonts w:ascii="Calibri" w:eastAsia="Times New Roman" w:hAnsi="Calibri" w:cs="Times New Roman"/>
                <w:lang w:eastAsia="en-GB"/>
              </w:rPr>
              <w:t>(</w:t>
            </w:r>
            <w:r w:rsidR="00C05558" w:rsidRPr="0056537D">
              <w:rPr>
                <w:rFonts w:ascii="Calibri" w:eastAsia="Times New Roman" w:hAnsi="Calibri" w:cs="Times New Roman"/>
                <w:lang w:eastAsia="en-GB"/>
              </w:rPr>
              <w:t>11,198</w:t>
            </w:r>
            <w:r>
              <w:rPr>
                <w:rFonts w:ascii="Calibri" w:eastAsia="Times New Roman" w:hAnsi="Calibri" w:cs="Times New Roman"/>
                <w:lang w:eastAsia="en-GB"/>
              </w:rPr>
              <w:t>)</w:t>
            </w:r>
          </w:p>
        </w:tc>
        <w:tc>
          <w:tcPr>
            <w:tcW w:w="1498" w:type="dxa"/>
            <w:tcBorders>
              <w:top w:val="single" w:sz="4" w:space="0" w:color="auto"/>
              <w:left w:val="nil"/>
              <w:bottom w:val="single" w:sz="4" w:space="0" w:color="auto"/>
            </w:tcBorders>
            <w:shd w:val="clear" w:color="auto" w:fill="auto"/>
            <w:noWrap/>
            <w:vAlign w:val="center"/>
            <w:hideMark/>
          </w:tcPr>
          <w:p w14:paraId="74082982"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812E14" w14:paraId="75DF09C6"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7CF66F04"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Domestic Waste - spec collns</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150DEB29" w14:textId="13ED15B5"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32,000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52033D5D" w14:textId="1DCDE132" w:rsidR="00812E14" w:rsidRPr="00BD0360" w:rsidRDefault="00BD0360" w:rsidP="00BD0360">
            <w:pPr>
              <w:spacing w:line="240" w:lineRule="auto"/>
              <w:jc w:val="right"/>
              <w:rPr>
                <w:rFonts w:ascii="Calibri" w:eastAsia="Times New Roman" w:hAnsi="Calibri" w:cs="Times New Roman"/>
                <w:lang w:eastAsia="en-GB"/>
              </w:rPr>
            </w:pPr>
            <w:r w:rsidRPr="00BD0360">
              <w:rPr>
                <w:rFonts w:ascii="Calibri" w:eastAsia="Times New Roman" w:hAnsi="Calibri" w:cs="Times New Roman"/>
                <w:lang w:eastAsia="en-GB"/>
              </w:rPr>
              <w:t>(16,004)</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6155FED6" w14:textId="6258AA26" w:rsidR="00812E14" w:rsidRPr="00BD0360" w:rsidRDefault="00BD0360" w:rsidP="00BD0360">
            <w:pPr>
              <w:spacing w:line="240" w:lineRule="auto"/>
              <w:jc w:val="right"/>
              <w:rPr>
                <w:rFonts w:ascii="Calibri" w:eastAsia="Times New Roman" w:hAnsi="Calibri" w:cs="Times New Roman"/>
                <w:lang w:eastAsia="en-GB"/>
              </w:rPr>
            </w:pPr>
            <w:r w:rsidRPr="00BD0360">
              <w:rPr>
                <w:rFonts w:ascii="Calibri" w:eastAsia="Times New Roman" w:hAnsi="Calibri" w:cs="Times New Roman"/>
                <w:lang w:eastAsia="en-GB"/>
              </w:rPr>
              <w:t>(20,780)</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3B1E40B8" w14:textId="234D185C" w:rsidR="00812E14" w:rsidRPr="00491D24" w:rsidRDefault="00C52B1F" w:rsidP="003A1B44">
            <w:pPr>
              <w:spacing w:line="240" w:lineRule="auto"/>
              <w:jc w:val="right"/>
              <w:rPr>
                <w:rFonts w:ascii="Calibri" w:eastAsia="Times New Roman" w:hAnsi="Calibri" w:cs="Times New Roman"/>
                <w:color w:val="FF0000"/>
                <w:lang w:eastAsia="en-GB"/>
              </w:rPr>
            </w:pPr>
            <w:r w:rsidRPr="003A1B44">
              <w:rPr>
                <w:rFonts w:ascii="Calibri" w:eastAsia="Times New Roman" w:hAnsi="Calibri" w:cs="Times New Roman"/>
                <w:lang w:eastAsia="en-GB"/>
              </w:rPr>
              <w:t>4</w:t>
            </w:r>
            <w:r w:rsidR="003A1B44" w:rsidRPr="003A1B44">
              <w:rPr>
                <w:rFonts w:ascii="Calibri" w:eastAsia="Times New Roman" w:hAnsi="Calibri" w:cs="Times New Roman"/>
                <w:lang w:eastAsia="en-GB"/>
              </w:rPr>
              <w:t>,776</w:t>
            </w:r>
          </w:p>
        </w:tc>
        <w:tc>
          <w:tcPr>
            <w:tcW w:w="1498" w:type="dxa"/>
            <w:tcBorders>
              <w:top w:val="single" w:sz="4" w:space="0" w:color="auto"/>
              <w:left w:val="nil"/>
              <w:bottom w:val="single" w:sz="4" w:space="0" w:color="auto"/>
            </w:tcBorders>
            <w:shd w:val="clear" w:color="auto" w:fill="auto"/>
            <w:noWrap/>
            <w:vAlign w:val="center"/>
            <w:hideMark/>
          </w:tcPr>
          <w:p w14:paraId="12A598AE"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812E14" w14:paraId="41F92A1D"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0886E479"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Land Charges Income</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39F7AD08" w14:textId="573D4CB1"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100,000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6DB5D2C9" w14:textId="011C4C3D"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(50,020)</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736462C6" w14:textId="692DF157" w:rsidR="00812E14" w:rsidRPr="009F2CF2" w:rsidRDefault="00823017" w:rsidP="00823017">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(53,648)</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6D2E4C93" w14:textId="384D061F" w:rsidR="00812E14" w:rsidRPr="003A1B44" w:rsidRDefault="003A1B44" w:rsidP="003A1B4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3,628</w:t>
            </w:r>
          </w:p>
        </w:tc>
        <w:tc>
          <w:tcPr>
            <w:tcW w:w="1498" w:type="dxa"/>
            <w:tcBorders>
              <w:top w:val="single" w:sz="4" w:space="0" w:color="auto"/>
              <w:left w:val="nil"/>
              <w:bottom w:val="single" w:sz="4" w:space="0" w:color="auto"/>
            </w:tcBorders>
            <w:shd w:val="clear" w:color="auto" w:fill="auto"/>
            <w:noWrap/>
            <w:vAlign w:val="center"/>
            <w:hideMark/>
          </w:tcPr>
          <w:p w14:paraId="243C8CFA"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812E14" w14:paraId="159406E3"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0ED16577"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Licensing - Premises</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122E5249" w14:textId="178D1483"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63,000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16177C02" w14:textId="5AF1FAB7"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(47,974)</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1DFD2921" w14:textId="52AC32EB" w:rsidR="00812E14" w:rsidRPr="009F2CF2" w:rsidRDefault="00823017" w:rsidP="00823017">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(47,649)</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141F86A5" w14:textId="3F100B2E" w:rsidR="00812E14" w:rsidRPr="003A1B44" w:rsidRDefault="003A1B44" w:rsidP="003A1B4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(325)</w:t>
            </w:r>
          </w:p>
        </w:tc>
        <w:tc>
          <w:tcPr>
            <w:tcW w:w="1498" w:type="dxa"/>
            <w:tcBorders>
              <w:top w:val="single" w:sz="4" w:space="0" w:color="auto"/>
              <w:left w:val="nil"/>
              <w:bottom w:val="single" w:sz="4" w:space="0" w:color="auto"/>
            </w:tcBorders>
            <w:shd w:val="clear" w:color="auto" w:fill="auto"/>
            <w:noWrap/>
            <w:vAlign w:val="center"/>
            <w:hideMark/>
          </w:tcPr>
          <w:p w14:paraId="187D2F80"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812E14" w14:paraId="624EF389"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6AD8ED95"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Market Rents</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1F1F5309" w14:textId="4D13A410"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135,000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0FC134F3" w14:textId="7DB1C40F"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(67,524)</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0218F5FE" w14:textId="2B3E28FB" w:rsidR="00812E14" w:rsidRPr="009F2CF2" w:rsidRDefault="00823017" w:rsidP="00823017">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(65,576)</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12A1CF18" w14:textId="630647F8" w:rsidR="00812E14" w:rsidRPr="003A1B44" w:rsidRDefault="003A1B44" w:rsidP="003A1B44">
            <w:pPr>
              <w:spacing w:line="240" w:lineRule="auto"/>
              <w:jc w:val="right"/>
              <w:rPr>
                <w:rFonts w:ascii="Calibri" w:eastAsia="Times New Roman" w:hAnsi="Calibri" w:cs="Times New Roman"/>
                <w:lang w:eastAsia="en-GB"/>
              </w:rPr>
            </w:pPr>
            <w:r>
              <w:rPr>
                <w:rFonts w:ascii="Calibri" w:eastAsia="Times New Roman" w:hAnsi="Calibri" w:cs="Times New Roman"/>
                <w:lang w:eastAsia="en-GB"/>
              </w:rPr>
              <w:t>(1,948)</w:t>
            </w:r>
          </w:p>
        </w:tc>
        <w:tc>
          <w:tcPr>
            <w:tcW w:w="1498" w:type="dxa"/>
            <w:tcBorders>
              <w:top w:val="single" w:sz="4" w:space="0" w:color="auto"/>
              <w:left w:val="nil"/>
              <w:bottom w:val="single" w:sz="4" w:space="0" w:color="auto"/>
            </w:tcBorders>
            <w:shd w:val="clear" w:color="auto" w:fill="auto"/>
            <w:noWrap/>
            <w:vAlign w:val="center"/>
            <w:hideMark/>
          </w:tcPr>
          <w:p w14:paraId="64927993"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812E14" w14:paraId="7078DF4B"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09E1C7A2"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Pest Control Income</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35B444CE" w14:textId="5FC15C17"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23,000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5FC05A17" w14:textId="50667248"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(10,335)</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714D1A97" w14:textId="668A95C1" w:rsidR="00812E14" w:rsidRPr="009F2CF2" w:rsidRDefault="00823017" w:rsidP="00823017">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(10,309)</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360204D3" w14:textId="319A35B7" w:rsidR="00812E14" w:rsidRPr="003A1B44" w:rsidRDefault="003A1B44" w:rsidP="003A1B4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(26)</w:t>
            </w:r>
          </w:p>
        </w:tc>
        <w:tc>
          <w:tcPr>
            <w:tcW w:w="1498" w:type="dxa"/>
            <w:tcBorders>
              <w:top w:val="single" w:sz="4" w:space="0" w:color="auto"/>
              <w:left w:val="nil"/>
              <w:bottom w:val="single" w:sz="4" w:space="0" w:color="auto"/>
            </w:tcBorders>
            <w:shd w:val="clear" w:color="auto" w:fill="auto"/>
            <w:noWrap/>
            <w:vAlign w:val="center"/>
            <w:hideMark/>
          </w:tcPr>
          <w:p w14:paraId="067FD0C6"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DB7C16" w14:paraId="74D7FBAB" w14:textId="77777777" w:rsidTr="00A87E19">
        <w:trPr>
          <w:trHeight w:val="347"/>
        </w:trPr>
        <w:tc>
          <w:tcPr>
            <w:tcW w:w="2840" w:type="dxa"/>
            <w:tcBorders>
              <w:top w:val="single" w:sz="4" w:space="0" w:color="auto"/>
              <w:bottom w:val="single" w:sz="4" w:space="0" w:color="auto"/>
              <w:right w:val="single" w:sz="8" w:space="0" w:color="BFBFBF"/>
            </w:tcBorders>
            <w:shd w:val="clear" w:color="auto" w:fill="auto"/>
            <w:noWrap/>
            <w:vAlign w:val="center"/>
            <w:hideMark/>
          </w:tcPr>
          <w:p w14:paraId="681B3642"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Planning Application Fees</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76FD5F1C" w14:textId="3D77A78F"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375,000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7136ACE8" w14:textId="0F760DEE"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(187,572)</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5994244F" w14:textId="383BF024" w:rsidR="00812E14" w:rsidRPr="009F2CF2" w:rsidRDefault="009F2CF2" w:rsidP="009F2CF2">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(286,658)</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2341D76C" w14:textId="6C80C88B" w:rsidR="00812E14" w:rsidRPr="003A1B44" w:rsidRDefault="003A1B44" w:rsidP="003A1B4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99,086</w:t>
            </w:r>
          </w:p>
        </w:tc>
        <w:tc>
          <w:tcPr>
            <w:tcW w:w="1498" w:type="dxa"/>
            <w:tcBorders>
              <w:top w:val="single" w:sz="4" w:space="0" w:color="auto"/>
              <w:left w:val="nil"/>
              <w:bottom w:val="single" w:sz="4" w:space="0" w:color="auto"/>
            </w:tcBorders>
            <w:shd w:val="clear" w:color="auto" w:fill="auto"/>
            <w:noWrap/>
            <w:vAlign w:val="center"/>
            <w:hideMark/>
          </w:tcPr>
          <w:p w14:paraId="2FF21337" w14:textId="41D7F60F" w:rsidR="00812E14" w:rsidRPr="00DB7C16" w:rsidRDefault="00A87E19" w:rsidP="00A87E19">
            <w:pPr>
              <w:spacing w:line="240" w:lineRule="auto"/>
              <w:jc w:val="left"/>
              <w:rPr>
                <w:rFonts w:ascii="Calibri" w:eastAsia="Times New Roman" w:hAnsi="Calibri" w:cs="Times New Roman"/>
                <w:highlight w:val="yellow"/>
                <w:lang w:eastAsia="en-GB"/>
              </w:rPr>
            </w:pPr>
            <w:r w:rsidRPr="00A87E19">
              <w:rPr>
                <w:rFonts w:ascii="Calibri" w:eastAsia="Times New Roman" w:hAnsi="Calibri" w:cs="Times New Roman"/>
                <w:lang w:eastAsia="en-GB"/>
              </w:rPr>
              <w:t xml:space="preserve">Under </w:t>
            </w:r>
            <w:r>
              <w:rPr>
                <w:rFonts w:ascii="Calibri" w:eastAsia="Times New Roman" w:hAnsi="Calibri" w:cs="Times New Roman"/>
                <w:lang w:eastAsia="en-GB"/>
              </w:rPr>
              <w:t>r</w:t>
            </w:r>
            <w:r w:rsidRPr="00A87E19">
              <w:rPr>
                <w:rFonts w:ascii="Calibri" w:eastAsia="Times New Roman" w:hAnsi="Calibri" w:cs="Times New Roman"/>
                <w:lang w:eastAsia="en-GB"/>
              </w:rPr>
              <w:t>eview</w:t>
            </w:r>
          </w:p>
        </w:tc>
      </w:tr>
      <w:tr w:rsidR="00812E14" w:rsidRPr="00812E14" w14:paraId="51B883DC"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1CDED565"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Property Rental</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2BAD4A5A" w14:textId="25F54189"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1,122,756</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320A1D30" w14:textId="47D32172"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(908,330)</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490E80A5" w14:textId="6B450F97" w:rsidR="00812E14" w:rsidRPr="00C52878" w:rsidRDefault="009F2CF2" w:rsidP="009F2CF2">
            <w:pPr>
              <w:spacing w:line="240" w:lineRule="auto"/>
              <w:jc w:val="right"/>
              <w:rPr>
                <w:rFonts w:ascii="Calibri" w:eastAsia="Times New Roman" w:hAnsi="Calibri" w:cs="Times New Roman"/>
                <w:lang w:eastAsia="en-GB"/>
              </w:rPr>
            </w:pPr>
            <w:r w:rsidRPr="00C52878">
              <w:rPr>
                <w:rFonts w:ascii="Calibri" w:eastAsia="Times New Roman" w:hAnsi="Calibri" w:cs="Times New Roman"/>
                <w:lang w:eastAsia="en-GB"/>
              </w:rPr>
              <w:t>(</w:t>
            </w:r>
            <w:r w:rsidR="00812E14" w:rsidRPr="00C52878">
              <w:rPr>
                <w:rFonts w:ascii="Calibri" w:eastAsia="Times New Roman" w:hAnsi="Calibri" w:cs="Times New Roman"/>
                <w:lang w:eastAsia="en-GB"/>
              </w:rPr>
              <w:t>8</w:t>
            </w:r>
            <w:r w:rsidR="00E73D90" w:rsidRPr="00C52878">
              <w:rPr>
                <w:rFonts w:ascii="Calibri" w:eastAsia="Times New Roman" w:hAnsi="Calibri" w:cs="Times New Roman"/>
                <w:lang w:eastAsia="en-GB"/>
              </w:rPr>
              <w:t>9</w:t>
            </w:r>
            <w:r w:rsidRPr="00C52878">
              <w:rPr>
                <w:rFonts w:ascii="Calibri" w:eastAsia="Times New Roman" w:hAnsi="Calibri" w:cs="Times New Roman"/>
                <w:lang w:eastAsia="en-GB"/>
              </w:rPr>
              <w:t>3</w:t>
            </w:r>
            <w:r w:rsidR="00812E14" w:rsidRPr="00C52878">
              <w:rPr>
                <w:rFonts w:ascii="Calibri" w:eastAsia="Times New Roman" w:hAnsi="Calibri" w:cs="Times New Roman"/>
                <w:lang w:eastAsia="en-GB"/>
              </w:rPr>
              <w:t>,</w:t>
            </w:r>
            <w:r w:rsidRPr="00C52878">
              <w:rPr>
                <w:rFonts w:ascii="Calibri" w:eastAsia="Times New Roman" w:hAnsi="Calibri" w:cs="Times New Roman"/>
                <w:lang w:eastAsia="en-GB"/>
              </w:rPr>
              <w:t>347)</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4C6A1B59" w14:textId="707632BF" w:rsidR="00812E14" w:rsidRPr="00C52878" w:rsidRDefault="003A1B44" w:rsidP="003A1B44">
            <w:pPr>
              <w:spacing w:line="240" w:lineRule="auto"/>
              <w:jc w:val="right"/>
              <w:rPr>
                <w:rFonts w:ascii="Calibri" w:eastAsia="Times New Roman" w:hAnsi="Calibri" w:cs="Times New Roman"/>
                <w:lang w:eastAsia="en-GB"/>
              </w:rPr>
            </w:pPr>
            <w:r w:rsidRPr="00C52878">
              <w:rPr>
                <w:rFonts w:ascii="Calibri" w:eastAsia="Times New Roman" w:hAnsi="Calibri" w:cs="Times New Roman"/>
                <w:lang w:eastAsia="en-GB"/>
              </w:rPr>
              <w:t>(14,383)</w:t>
            </w:r>
          </w:p>
        </w:tc>
        <w:tc>
          <w:tcPr>
            <w:tcW w:w="1498" w:type="dxa"/>
            <w:tcBorders>
              <w:top w:val="single" w:sz="4" w:space="0" w:color="auto"/>
              <w:left w:val="nil"/>
              <w:bottom w:val="single" w:sz="4" w:space="0" w:color="auto"/>
            </w:tcBorders>
            <w:shd w:val="clear" w:color="auto" w:fill="auto"/>
            <w:noWrap/>
            <w:vAlign w:val="center"/>
            <w:hideMark/>
          </w:tcPr>
          <w:p w14:paraId="1DA80445"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812E14" w14:paraId="5A44B98D"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2EA782FD"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Short Term Interest</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6B58E53F" w14:textId="34BC069F"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C74DDE">
              <w:rPr>
                <w:rFonts w:ascii="Calibri" w:eastAsia="Times New Roman" w:hAnsi="Calibri" w:cs="Times New Roman"/>
                <w:color w:val="000000"/>
                <w:lang w:eastAsia="en-GB"/>
              </w:rPr>
              <w:t>109,</w:t>
            </w:r>
            <w:r w:rsidR="00812E14" w:rsidRPr="00812E14">
              <w:rPr>
                <w:rFonts w:ascii="Calibri" w:eastAsia="Times New Roman" w:hAnsi="Calibri" w:cs="Times New Roman"/>
                <w:color w:val="000000"/>
                <w:lang w:eastAsia="en-GB"/>
              </w:rPr>
              <w:t>000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4C5F8AB6" w14:textId="1A2CD03E"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(54,520)</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08594675" w14:textId="542055C8" w:rsidR="00812E14" w:rsidRPr="00C52878" w:rsidRDefault="009F2CF2" w:rsidP="009F2CF2">
            <w:pPr>
              <w:spacing w:line="240" w:lineRule="auto"/>
              <w:jc w:val="right"/>
              <w:rPr>
                <w:rFonts w:ascii="Calibri" w:eastAsia="Times New Roman" w:hAnsi="Calibri" w:cs="Times New Roman"/>
                <w:lang w:eastAsia="en-GB"/>
              </w:rPr>
            </w:pPr>
            <w:r w:rsidRPr="00C52878">
              <w:rPr>
                <w:rFonts w:ascii="Calibri" w:eastAsia="Times New Roman" w:hAnsi="Calibri" w:cs="Times New Roman"/>
                <w:lang w:eastAsia="en-GB"/>
              </w:rPr>
              <w:t>(83,194)</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63F09DEA" w14:textId="74F0452A" w:rsidR="00812E14" w:rsidRPr="00C52878" w:rsidRDefault="003A1B44" w:rsidP="003A1B44">
            <w:pPr>
              <w:spacing w:line="240" w:lineRule="auto"/>
              <w:jc w:val="right"/>
              <w:rPr>
                <w:rFonts w:ascii="Calibri" w:eastAsia="Times New Roman" w:hAnsi="Calibri" w:cs="Times New Roman"/>
                <w:lang w:eastAsia="en-GB"/>
              </w:rPr>
            </w:pPr>
            <w:r w:rsidRPr="00C52878">
              <w:rPr>
                <w:rFonts w:ascii="Calibri" w:eastAsia="Times New Roman" w:hAnsi="Calibri" w:cs="Times New Roman"/>
                <w:lang w:eastAsia="en-GB"/>
              </w:rPr>
              <w:t>28,674</w:t>
            </w:r>
          </w:p>
        </w:tc>
        <w:tc>
          <w:tcPr>
            <w:tcW w:w="1498" w:type="dxa"/>
            <w:tcBorders>
              <w:top w:val="single" w:sz="4" w:space="0" w:color="auto"/>
              <w:left w:val="nil"/>
              <w:bottom w:val="single" w:sz="4" w:space="0" w:color="auto"/>
            </w:tcBorders>
            <w:shd w:val="clear" w:color="auto" w:fill="auto"/>
            <w:noWrap/>
            <w:vAlign w:val="center"/>
            <w:hideMark/>
          </w:tcPr>
          <w:p w14:paraId="20E708AE" w14:textId="409A5C03" w:rsidR="00812E14" w:rsidRPr="003A1B44" w:rsidRDefault="00BE4FF5" w:rsidP="00BE4FF5">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5</w:t>
            </w:r>
            <w:r w:rsidR="00812E14" w:rsidRPr="003A1B44">
              <w:rPr>
                <w:rFonts w:ascii="Calibri" w:eastAsia="Times New Roman" w:hAnsi="Calibri" w:cs="Times New Roman"/>
                <w:lang w:eastAsia="en-GB"/>
              </w:rPr>
              <w:t>0,000</w:t>
            </w:r>
          </w:p>
        </w:tc>
      </w:tr>
      <w:tr w:rsidR="00812E14" w:rsidRPr="00812E14" w14:paraId="7F5BC3B1"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198F34DC"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Taxi Licensing Income</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25EB9F36" w14:textId="10985011"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82,411</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5B479270" w14:textId="2DBA736A"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(44,677)</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63C9B8E3" w14:textId="7C8BF8F7" w:rsidR="00812E14" w:rsidRPr="009F2CF2" w:rsidRDefault="009F2CF2" w:rsidP="009F2CF2">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(41,913)</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4CC6D360" w14:textId="3959B742" w:rsidR="00812E14" w:rsidRPr="003A1B44" w:rsidRDefault="003A1B44" w:rsidP="003A1B4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(2,764)</w:t>
            </w:r>
          </w:p>
        </w:tc>
        <w:tc>
          <w:tcPr>
            <w:tcW w:w="1498" w:type="dxa"/>
            <w:tcBorders>
              <w:top w:val="single" w:sz="4" w:space="0" w:color="auto"/>
              <w:left w:val="nil"/>
              <w:bottom w:val="single" w:sz="4" w:space="0" w:color="auto"/>
            </w:tcBorders>
            <w:shd w:val="clear" w:color="auto" w:fill="auto"/>
            <w:noWrap/>
            <w:vAlign w:val="center"/>
            <w:hideMark/>
          </w:tcPr>
          <w:p w14:paraId="02A7EDD5" w14:textId="77777777" w:rsidR="00812E14" w:rsidRPr="003A1B44" w:rsidRDefault="00812E14" w:rsidP="00812E1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0</w:t>
            </w:r>
          </w:p>
        </w:tc>
      </w:tr>
      <w:tr w:rsidR="00812E14" w:rsidRPr="00F4562A" w14:paraId="1008E7C7" w14:textId="77777777" w:rsidTr="00A87E19">
        <w:trPr>
          <w:trHeight w:val="330"/>
        </w:trPr>
        <w:tc>
          <w:tcPr>
            <w:tcW w:w="2840" w:type="dxa"/>
            <w:tcBorders>
              <w:top w:val="single" w:sz="4" w:space="0" w:color="auto"/>
              <w:bottom w:val="single" w:sz="4" w:space="0" w:color="auto"/>
              <w:right w:val="single" w:sz="8" w:space="0" w:color="BFBFBF"/>
            </w:tcBorders>
            <w:shd w:val="clear" w:color="auto" w:fill="auto"/>
            <w:noWrap/>
            <w:vAlign w:val="center"/>
            <w:hideMark/>
          </w:tcPr>
          <w:p w14:paraId="7E6F49CC" w14:textId="77777777" w:rsidR="00812E14" w:rsidRPr="00812E14" w:rsidRDefault="00812E14" w:rsidP="00812E14">
            <w:pPr>
              <w:spacing w:line="240" w:lineRule="auto"/>
              <w:jc w:val="left"/>
              <w:rPr>
                <w:rFonts w:ascii="Calibri" w:eastAsia="Times New Roman" w:hAnsi="Calibri" w:cs="Times New Roman"/>
                <w:color w:val="000000"/>
                <w:lang w:eastAsia="en-GB"/>
              </w:rPr>
            </w:pPr>
            <w:r w:rsidRPr="00812E14">
              <w:rPr>
                <w:rFonts w:ascii="Calibri" w:eastAsia="Times New Roman" w:hAnsi="Calibri" w:cs="Times New Roman"/>
                <w:color w:val="000000"/>
                <w:lang w:eastAsia="en-GB"/>
              </w:rPr>
              <w:t>Trade Waste Income</w:t>
            </w:r>
          </w:p>
        </w:tc>
        <w:tc>
          <w:tcPr>
            <w:tcW w:w="1240" w:type="dxa"/>
            <w:tcBorders>
              <w:top w:val="single" w:sz="4" w:space="0" w:color="auto"/>
              <w:left w:val="nil"/>
              <w:bottom w:val="single" w:sz="4" w:space="0" w:color="auto"/>
              <w:right w:val="single" w:sz="8" w:space="0" w:color="BFBFBF"/>
            </w:tcBorders>
            <w:shd w:val="clear" w:color="auto" w:fill="auto"/>
            <w:noWrap/>
            <w:vAlign w:val="center"/>
            <w:hideMark/>
          </w:tcPr>
          <w:p w14:paraId="0E6F08A1" w14:textId="60990F5B" w:rsidR="00812E14" w:rsidRPr="00812E14" w:rsidRDefault="002945D5" w:rsidP="002945D5">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812E14" w:rsidRPr="00812E14">
              <w:rPr>
                <w:rFonts w:ascii="Calibri" w:eastAsia="Times New Roman" w:hAnsi="Calibri" w:cs="Times New Roman"/>
                <w:color w:val="000000"/>
                <w:lang w:eastAsia="en-GB"/>
              </w:rPr>
              <w:t>476,810</w:t>
            </w:r>
            <w:r>
              <w:rPr>
                <w:rFonts w:ascii="Calibri" w:eastAsia="Times New Roman" w:hAnsi="Calibri" w:cs="Times New Roman"/>
                <w:color w:val="000000"/>
                <w:lang w:eastAsia="en-GB"/>
              </w:rPr>
              <w:t>)</w:t>
            </w:r>
          </w:p>
        </w:tc>
        <w:tc>
          <w:tcPr>
            <w:tcW w:w="1340" w:type="dxa"/>
            <w:tcBorders>
              <w:top w:val="single" w:sz="4" w:space="0" w:color="auto"/>
              <w:left w:val="nil"/>
              <w:bottom w:val="single" w:sz="4" w:space="0" w:color="auto"/>
              <w:right w:val="single" w:sz="8" w:space="0" w:color="BFBFBF"/>
            </w:tcBorders>
            <w:shd w:val="clear" w:color="auto" w:fill="auto"/>
            <w:noWrap/>
            <w:vAlign w:val="center"/>
            <w:hideMark/>
          </w:tcPr>
          <w:p w14:paraId="54AAC328" w14:textId="67D2EE6E" w:rsidR="00812E14" w:rsidRPr="00A76AD7" w:rsidRDefault="00A76AD7" w:rsidP="00A76AD7">
            <w:pPr>
              <w:spacing w:line="240" w:lineRule="auto"/>
              <w:jc w:val="right"/>
              <w:rPr>
                <w:rFonts w:ascii="Calibri" w:eastAsia="Times New Roman" w:hAnsi="Calibri" w:cs="Times New Roman"/>
                <w:lang w:eastAsia="en-GB"/>
              </w:rPr>
            </w:pPr>
            <w:r w:rsidRPr="00A76AD7">
              <w:rPr>
                <w:rFonts w:ascii="Calibri" w:eastAsia="Times New Roman" w:hAnsi="Calibri" w:cs="Times New Roman"/>
                <w:lang w:eastAsia="en-GB"/>
              </w:rPr>
              <w:t>(</w:t>
            </w:r>
            <w:r w:rsidR="00812E14" w:rsidRPr="00A76AD7">
              <w:rPr>
                <w:rFonts w:ascii="Calibri" w:eastAsia="Times New Roman" w:hAnsi="Calibri" w:cs="Times New Roman"/>
                <w:lang w:eastAsia="en-GB"/>
              </w:rPr>
              <w:t>4</w:t>
            </w:r>
            <w:r w:rsidR="00A6715A" w:rsidRPr="00A76AD7">
              <w:rPr>
                <w:rFonts w:ascii="Calibri" w:eastAsia="Times New Roman" w:hAnsi="Calibri" w:cs="Times New Roman"/>
                <w:lang w:eastAsia="en-GB"/>
              </w:rPr>
              <w:t>65,03</w:t>
            </w:r>
            <w:r w:rsidR="008C090A" w:rsidRPr="00A76AD7">
              <w:rPr>
                <w:rFonts w:ascii="Calibri" w:eastAsia="Times New Roman" w:hAnsi="Calibri" w:cs="Times New Roman"/>
                <w:lang w:eastAsia="en-GB"/>
              </w:rPr>
              <w:t>2</w:t>
            </w:r>
            <w:r w:rsidRPr="00A76AD7">
              <w:rPr>
                <w:rFonts w:ascii="Calibri" w:eastAsia="Times New Roman" w:hAnsi="Calibri" w:cs="Times New Roman"/>
                <w:lang w:eastAsia="en-GB"/>
              </w:rPr>
              <w:t>)</w:t>
            </w:r>
          </w:p>
        </w:tc>
        <w:tc>
          <w:tcPr>
            <w:tcW w:w="1660" w:type="dxa"/>
            <w:tcBorders>
              <w:top w:val="single" w:sz="4" w:space="0" w:color="auto"/>
              <w:left w:val="nil"/>
              <w:bottom w:val="single" w:sz="4" w:space="0" w:color="auto"/>
              <w:right w:val="single" w:sz="8" w:space="0" w:color="BFBFBF"/>
            </w:tcBorders>
            <w:shd w:val="clear" w:color="auto" w:fill="auto"/>
            <w:noWrap/>
            <w:vAlign w:val="center"/>
            <w:hideMark/>
          </w:tcPr>
          <w:p w14:paraId="360DB7FD" w14:textId="5BB29D60" w:rsidR="00812E14" w:rsidRPr="009F2CF2" w:rsidRDefault="009F2CF2" w:rsidP="009F2CF2">
            <w:pPr>
              <w:spacing w:line="240" w:lineRule="auto"/>
              <w:jc w:val="right"/>
              <w:rPr>
                <w:rFonts w:ascii="Calibri" w:eastAsia="Times New Roman" w:hAnsi="Calibri" w:cs="Times New Roman"/>
                <w:lang w:eastAsia="en-GB"/>
              </w:rPr>
            </w:pPr>
            <w:r w:rsidRPr="009F2CF2">
              <w:rPr>
                <w:rFonts w:ascii="Calibri" w:eastAsia="Times New Roman" w:hAnsi="Calibri" w:cs="Times New Roman"/>
                <w:lang w:eastAsia="en-GB"/>
              </w:rPr>
              <w:t>(464,983)</w:t>
            </w:r>
          </w:p>
        </w:tc>
        <w:tc>
          <w:tcPr>
            <w:tcW w:w="1222" w:type="dxa"/>
            <w:tcBorders>
              <w:top w:val="single" w:sz="4" w:space="0" w:color="auto"/>
              <w:left w:val="nil"/>
              <w:bottom w:val="single" w:sz="4" w:space="0" w:color="auto"/>
              <w:right w:val="single" w:sz="8" w:space="0" w:color="BFBFBF"/>
            </w:tcBorders>
            <w:shd w:val="clear" w:color="auto" w:fill="auto"/>
            <w:noWrap/>
            <w:vAlign w:val="center"/>
            <w:hideMark/>
          </w:tcPr>
          <w:p w14:paraId="47583250" w14:textId="5D2156C7" w:rsidR="00812E14" w:rsidRPr="003A1B44" w:rsidRDefault="003A1B44" w:rsidP="003A1B44">
            <w:pPr>
              <w:spacing w:line="240" w:lineRule="auto"/>
              <w:jc w:val="right"/>
              <w:rPr>
                <w:rFonts w:ascii="Calibri" w:eastAsia="Times New Roman" w:hAnsi="Calibri" w:cs="Times New Roman"/>
                <w:lang w:eastAsia="en-GB"/>
              </w:rPr>
            </w:pPr>
            <w:r w:rsidRPr="003A1B44">
              <w:rPr>
                <w:rFonts w:ascii="Calibri" w:eastAsia="Times New Roman" w:hAnsi="Calibri" w:cs="Times New Roman"/>
                <w:lang w:eastAsia="en-GB"/>
              </w:rPr>
              <w:t>(49)</w:t>
            </w:r>
          </w:p>
        </w:tc>
        <w:tc>
          <w:tcPr>
            <w:tcW w:w="1498" w:type="dxa"/>
            <w:tcBorders>
              <w:top w:val="single" w:sz="4" w:space="0" w:color="auto"/>
              <w:left w:val="nil"/>
              <w:bottom w:val="single" w:sz="4" w:space="0" w:color="auto"/>
            </w:tcBorders>
            <w:shd w:val="clear" w:color="auto" w:fill="auto"/>
            <w:noWrap/>
            <w:vAlign w:val="center"/>
            <w:hideMark/>
          </w:tcPr>
          <w:p w14:paraId="1D8EF2E4" w14:textId="77777777" w:rsidR="00812E14" w:rsidRPr="003A1B44" w:rsidRDefault="00812E14" w:rsidP="00812E14">
            <w:pPr>
              <w:spacing w:line="240" w:lineRule="auto"/>
              <w:jc w:val="right"/>
              <w:rPr>
                <w:rFonts w:ascii="Calibri" w:eastAsia="Times New Roman" w:hAnsi="Calibri" w:cs="Times New Roman"/>
                <w:highlight w:val="yellow"/>
                <w:lang w:eastAsia="en-GB"/>
              </w:rPr>
            </w:pPr>
            <w:r w:rsidRPr="003A1B44">
              <w:rPr>
                <w:rFonts w:ascii="Calibri" w:eastAsia="Times New Roman" w:hAnsi="Calibri" w:cs="Times New Roman"/>
                <w:lang w:eastAsia="en-GB"/>
              </w:rPr>
              <w:t>0</w:t>
            </w:r>
          </w:p>
        </w:tc>
      </w:tr>
    </w:tbl>
    <w:p w14:paraId="7530E825" w14:textId="77777777" w:rsidR="00F9588C" w:rsidRDefault="00F9588C" w:rsidP="002A6167">
      <w:pPr>
        <w:pStyle w:val="Heading3"/>
      </w:pPr>
    </w:p>
    <w:p w14:paraId="20DCD99F" w14:textId="77777777" w:rsidR="002A6167" w:rsidRDefault="002A6167" w:rsidP="002A6167">
      <w:pPr>
        <w:pStyle w:val="Heading3"/>
      </w:pPr>
      <w:r>
        <w:t>Interest on Investments</w:t>
      </w:r>
    </w:p>
    <w:p w14:paraId="685B94AC" w14:textId="77777777" w:rsidR="00AE3E5B" w:rsidRPr="00AE3E5B" w:rsidRDefault="00AE3E5B" w:rsidP="00AE3E5B"/>
    <w:p w14:paraId="76098930" w14:textId="77777777" w:rsidR="003B0AC9" w:rsidRDefault="002A6167" w:rsidP="00F559DD">
      <w:r w:rsidRPr="00986991">
        <w:t xml:space="preserve">Short-term investment income </w:t>
      </w:r>
      <w:r w:rsidR="001B26B5" w:rsidRPr="00986991">
        <w:t>i</w:t>
      </w:r>
      <w:r w:rsidRPr="00986991">
        <w:t>s £</w:t>
      </w:r>
      <w:r w:rsidR="000347E8" w:rsidRPr="00986991">
        <w:t>2</w:t>
      </w:r>
      <w:r w:rsidR="00B8657F">
        <w:t>9</w:t>
      </w:r>
      <w:r w:rsidR="000347E8" w:rsidRPr="00986991">
        <w:t>,</w:t>
      </w:r>
      <w:r w:rsidRPr="00986991">
        <w:t>000</w:t>
      </w:r>
      <w:r w:rsidR="001B26B5" w:rsidRPr="00986991">
        <w:t xml:space="preserve"> </w:t>
      </w:r>
      <w:r w:rsidR="0082059B" w:rsidRPr="00986991">
        <w:t>above</w:t>
      </w:r>
      <w:r w:rsidR="001B26B5" w:rsidRPr="00986991">
        <w:t xml:space="preserve"> </w:t>
      </w:r>
      <w:r w:rsidR="00287AD7" w:rsidRPr="00986991">
        <w:t xml:space="preserve">the </w:t>
      </w:r>
      <w:r w:rsidR="00AE3E5B" w:rsidRPr="00986991">
        <w:t xml:space="preserve">profiled </w:t>
      </w:r>
      <w:r w:rsidR="001B26B5" w:rsidRPr="00986991">
        <w:t>budget</w:t>
      </w:r>
      <w:r w:rsidR="00B42A94" w:rsidRPr="00986991">
        <w:t xml:space="preserve"> to the end of </w:t>
      </w:r>
      <w:r w:rsidR="002479CA">
        <w:t>September</w:t>
      </w:r>
      <w:r w:rsidRPr="00986991">
        <w:t>.</w:t>
      </w:r>
      <w:r w:rsidR="00F559DD" w:rsidRPr="00986991">
        <w:t xml:space="preserve"> The increase in interest is a combination of increased </w:t>
      </w:r>
      <w:r w:rsidR="00287AD7" w:rsidRPr="00986991">
        <w:t xml:space="preserve">average </w:t>
      </w:r>
      <w:r w:rsidR="00F559DD" w:rsidRPr="00986991">
        <w:t>balances</w:t>
      </w:r>
      <w:r w:rsidR="00287AD7" w:rsidRPr="00986991">
        <w:t xml:space="preserve"> </w:t>
      </w:r>
      <w:r w:rsidR="00F559DD" w:rsidRPr="00986991">
        <w:t xml:space="preserve">and better rates obtained </w:t>
      </w:r>
      <w:r w:rsidR="005E5B8A">
        <w:t>than forecast</w:t>
      </w:r>
      <w:r w:rsidR="00287AD7" w:rsidRPr="00287AD7">
        <w:t xml:space="preserve">. </w:t>
      </w:r>
      <w:r w:rsidR="005E5B8A">
        <w:t>Returns on investments and c</w:t>
      </w:r>
      <w:r w:rsidR="00175A9C">
        <w:t>omparative</w:t>
      </w:r>
      <w:r w:rsidR="005E5B8A">
        <w:t xml:space="preserve">s for </w:t>
      </w:r>
      <w:r w:rsidR="00175A9C">
        <w:t xml:space="preserve">the </w:t>
      </w:r>
      <w:r w:rsidR="005E5B8A">
        <w:t xml:space="preserve">previous </w:t>
      </w:r>
      <w:r w:rsidR="00175A9C">
        <w:t>reporting period are set out below:</w:t>
      </w:r>
      <w:r w:rsidR="00F4562A">
        <w:t>-</w:t>
      </w:r>
    </w:p>
    <w:p w14:paraId="342916C5" w14:textId="77777777" w:rsidR="003B0AC9" w:rsidRDefault="003B0AC9" w:rsidP="00F559DD"/>
    <w:tbl>
      <w:tblPr>
        <w:tblStyle w:val="TableGrid"/>
        <w:tblW w:w="0" w:type="auto"/>
        <w:tblInd w:w="607" w:type="dxa"/>
        <w:tblBorders>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604"/>
        <w:gridCol w:w="2042"/>
        <w:gridCol w:w="1701"/>
        <w:gridCol w:w="1178"/>
        <w:gridCol w:w="1605"/>
      </w:tblGrid>
      <w:tr w:rsidR="003B0AC9" w14:paraId="50CFCA77" w14:textId="77777777" w:rsidTr="003B0AC9">
        <w:trPr>
          <w:trHeight w:val="697"/>
        </w:trPr>
        <w:tc>
          <w:tcPr>
            <w:tcW w:w="1604" w:type="dxa"/>
            <w:tcBorders>
              <w:top w:val="single" w:sz="4" w:space="0" w:color="auto"/>
              <w:left w:val="nil"/>
              <w:bottom w:val="single" w:sz="4" w:space="0" w:color="auto"/>
              <w:right w:val="nil"/>
            </w:tcBorders>
            <w:shd w:val="clear" w:color="auto" w:fill="B4C6E7" w:themeFill="accent5" w:themeFillTint="66"/>
          </w:tcPr>
          <w:p w14:paraId="66E0F4EA" w14:textId="77777777" w:rsidR="003B0AC9" w:rsidRDefault="003B0AC9">
            <w:pPr>
              <w:rPr>
                <w:rFonts w:asciiTheme="minorHAnsi" w:hAnsiTheme="minorHAnsi"/>
                <w:b/>
                <w:color w:val="FF0000"/>
              </w:rPr>
            </w:pPr>
          </w:p>
        </w:tc>
        <w:tc>
          <w:tcPr>
            <w:tcW w:w="2042" w:type="dxa"/>
            <w:tcBorders>
              <w:top w:val="single" w:sz="4" w:space="0" w:color="auto"/>
              <w:left w:val="nil"/>
              <w:bottom w:val="single" w:sz="4" w:space="0" w:color="auto"/>
              <w:right w:val="nil"/>
            </w:tcBorders>
            <w:shd w:val="clear" w:color="auto" w:fill="B4C6E7" w:themeFill="accent5" w:themeFillTint="66"/>
            <w:hideMark/>
          </w:tcPr>
          <w:p w14:paraId="5F20A639" w14:textId="77777777" w:rsidR="003B0AC9" w:rsidRDefault="003B0AC9">
            <w:pPr>
              <w:jc w:val="center"/>
              <w:rPr>
                <w:b/>
              </w:rPr>
            </w:pPr>
            <w:r>
              <w:rPr>
                <w:b/>
              </w:rPr>
              <w:t>Average Balance</w:t>
            </w:r>
          </w:p>
          <w:p w14:paraId="0295C429" w14:textId="77777777" w:rsidR="003B0AC9" w:rsidRDefault="003B0AC9">
            <w:pPr>
              <w:jc w:val="center"/>
              <w:rPr>
                <w:b/>
              </w:rPr>
            </w:pPr>
            <w:r>
              <w:rPr>
                <w:b/>
              </w:rPr>
              <w:t>Periods 1 - 6</w:t>
            </w:r>
          </w:p>
        </w:tc>
        <w:tc>
          <w:tcPr>
            <w:tcW w:w="1701" w:type="dxa"/>
            <w:tcBorders>
              <w:top w:val="single" w:sz="4" w:space="0" w:color="auto"/>
              <w:left w:val="nil"/>
              <w:bottom w:val="single" w:sz="4" w:space="0" w:color="auto"/>
              <w:right w:val="nil"/>
            </w:tcBorders>
            <w:shd w:val="clear" w:color="auto" w:fill="B4C6E7" w:themeFill="accent5" w:themeFillTint="66"/>
            <w:hideMark/>
          </w:tcPr>
          <w:p w14:paraId="4692F824" w14:textId="77777777" w:rsidR="003B0AC9" w:rsidRDefault="003B0AC9">
            <w:pPr>
              <w:jc w:val="center"/>
              <w:rPr>
                <w:b/>
              </w:rPr>
            </w:pPr>
            <w:r>
              <w:rPr>
                <w:b/>
              </w:rPr>
              <w:t>Average Rate</w:t>
            </w:r>
          </w:p>
          <w:p w14:paraId="0F464D1B" w14:textId="77777777" w:rsidR="003B0AC9" w:rsidRDefault="003B0AC9">
            <w:pPr>
              <w:jc w:val="center"/>
              <w:rPr>
                <w:b/>
              </w:rPr>
            </w:pPr>
            <w:r>
              <w:rPr>
                <w:b/>
              </w:rPr>
              <w:t>Periods 1 -6</w:t>
            </w:r>
          </w:p>
        </w:tc>
        <w:tc>
          <w:tcPr>
            <w:tcW w:w="1178" w:type="dxa"/>
            <w:tcBorders>
              <w:top w:val="single" w:sz="4" w:space="0" w:color="auto"/>
              <w:left w:val="nil"/>
              <w:bottom w:val="single" w:sz="4" w:space="0" w:color="auto"/>
              <w:right w:val="nil"/>
            </w:tcBorders>
            <w:shd w:val="clear" w:color="auto" w:fill="B4C6E7" w:themeFill="accent5" w:themeFillTint="66"/>
            <w:hideMark/>
          </w:tcPr>
          <w:p w14:paraId="1708CEFE" w14:textId="77777777" w:rsidR="003B0AC9" w:rsidRDefault="003B0AC9">
            <w:pPr>
              <w:jc w:val="center"/>
              <w:rPr>
                <w:b/>
              </w:rPr>
            </w:pPr>
            <w:r>
              <w:rPr>
                <w:b/>
              </w:rPr>
              <w:t>No of days</w:t>
            </w:r>
          </w:p>
        </w:tc>
        <w:tc>
          <w:tcPr>
            <w:tcW w:w="1605" w:type="dxa"/>
            <w:tcBorders>
              <w:top w:val="single" w:sz="4" w:space="0" w:color="auto"/>
              <w:left w:val="nil"/>
              <w:bottom w:val="single" w:sz="4" w:space="0" w:color="auto"/>
              <w:right w:val="nil"/>
            </w:tcBorders>
            <w:shd w:val="clear" w:color="auto" w:fill="B4C6E7" w:themeFill="accent5" w:themeFillTint="66"/>
            <w:hideMark/>
          </w:tcPr>
          <w:p w14:paraId="47F99301" w14:textId="77777777" w:rsidR="003B0AC9" w:rsidRDefault="003B0AC9">
            <w:pPr>
              <w:jc w:val="center"/>
              <w:rPr>
                <w:b/>
              </w:rPr>
            </w:pPr>
            <w:r>
              <w:rPr>
                <w:b/>
              </w:rPr>
              <w:t>Interest</w:t>
            </w:r>
          </w:p>
          <w:p w14:paraId="4C897810" w14:textId="77777777" w:rsidR="003B0AC9" w:rsidRDefault="003B0AC9">
            <w:pPr>
              <w:jc w:val="center"/>
              <w:rPr>
                <w:b/>
              </w:rPr>
            </w:pPr>
            <w:r>
              <w:rPr>
                <w:b/>
              </w:rPr>
              <w:t>Earned</w:t>
            </w:r>
          </w:p>
        </w:tc>
      </w:tr>
      <w:tr w:rsidR="003B0AC9" w14:paraId="6ED5AC5E" w14:textId="77777777" w:rsidTr="003B0AC9">
        <w:trPr>
          <w:trHeight w:val="284"/>
        </w:trPr>
        <w:tc>
          <w:tcPr>
            <w:tcW w:w="1604" w:type="dxa"/>
            <w:tcBorders>
              <w:top w:val="single" w:sz="4" w:space="0" w:color="auto"/>
              <w:left w:val="nil"/>
              <w:bottom w:val="single" w:sz="4" w:space="0" w:color="auto"/>
              <w:right w:val="nil"/>
            </w:tcBorders>
            <w:hideMark/>
          </w:tcPr>
          <w:p w14:paraId="4E970A1A" w14:textId="77777777" w:rsidR="003B0AC9" w:rsidRDefault="003B0AC9">
            <w:r>
              <w:t>2016/17</w:t>
            </w:r>
          </w:p>
        </w:tc>
        <w:tc>
          <w:tcPr>
            <w:tcW w:w="2042" w:type="dxa"/>
            <w:tcBorders>
              <w:top w:val="single" w:sz="4" w:space="0" w:color="auto"/>
              <w:left w:val="nil"/>
              <w:bottom w:val="single" w:sz="4" w:space="0" w:color="auto"/>
              <w:right w:val="nil"/>
            </w:tcBorders>
            <w:hideMark/>
          </w:tcPr>
          <w:p w14:paraId="136B5D3E" w14:textId="77777777" w:rsidR="003B0AC9" w:rsidRDefault="003B0AC9">
            <w:pPr>
              <w:jc w:val="center"/>
            </w:pPr>
            <w:r>
              <w:t>£31,701,090</w:t>
            </w:r>
          </w:p>
        </w:tc>
        <w:tc>
          <w:tcPr>
            <w:tcW w:w="1701" w:type="dxa"/>
            <w:tcBorders>
              <w:top w:val="single" w:sz="4" w:space="0" w:color="auto"/>
              <w:left w:val="nil"/>
              <w:bottom w:val="single" w:sz="4" w:space="0" w:color="auto"/>
              <w:right w:val="nil"/>
            </w:tcBorders>
            <w:hideMark/>
          </w:tcPr>
          <w:p w14:paraId="18E4C62D" w14:textId="79557411" w:rsidR="003B0AC9" w:rsidRDefault="00F7347D">
            <w:pPr>
              <w:jc w:val="center"/>
            </w:pPr>
            <w:r>
              <w:t xml:space="preserve">   </w:t>
            </w:r>
            <w:r w:rsidR="003B0AC9">
              <w:t>0.682954%   </w:t>
            </w:r>
          </w:p>
        </w:tc>
        <w:tc>
          <w:tcPr>
            <w:tcW w:w="1178" w:type="dxa"/>
            <w:tcBorders>
              <w:top w:val="single" w:sz="4" w:space="0" w:color="auto"/>
              <w:left w:val="nil"/>
              <w:bottom w:val="single" w:sz="4" w:space="0" w:color="auto"/>
              <w:right w:val="nil"/>
            </w:tcBorders>
            <w:hideMark/>
          </w:tcPr>
          <w:p w14:paraId="1B937E19" w14:textId="77777777" w:rsidR="003B0AC9" w:rsidRDefault="003B0AC9">
            <w:pPr>
              <w:jc w:val="center"/>
            </w:pPr>
            <w:r>
              <w:t>183/365</w:t>
            </w:r>
          </w:p>
        </w:tc>
        <w:tc>
          <w:tcPr>
            <w:tcW w:w="1605" w:type="dxa"/>
            <w:tcBorders>
              <w:top w:val="single" w:sz="4" w:space="0" w:color="auto"/>
              <w:left w:val="nil"/>
              <w:bottom w:val="single" w:sz="4" w:space="0" w:color="auto"/>
              <w:right w:val="nil"/>
            </w:tcBorders>
            <w:hideMark/>
          </w:tcPr>
          <w:p w14:paraId="04593F15" w14:textId="77777777" w:rsidR="003B0AC9" w:rsidRDefault="003B0AC9">
            <w:pPr>
              <w:jc w:val="center"/>
            </w:pPr>
            <w:r>
              <w:t>£108,549</w:t>
            </w:r>
          </w:p>
        </w:tc>
      </w:tr>
      <w:tr w:rsidR="003B0AC9" w14:paraId="6E89B672" w14:textId="77777777" w:rsidTr="003B0AC9">
        <w:trPr>
          <w:trHeight w:val="367"/>
        </w:trPr>
        <w:tc>
          <w:tcPr>
            <w:tcW w:w="1604" w:type="dxa"/>
            <w:tcBorders>
              <w:top w:val="single" w:sz="4" w:space="0" w:color="auto"/>
              <w:left w:val="nil"/>
              <w:bottom w:val="single" w:sz="8" w:space="0" w:color="auto"/>
              <w:right w:val="nil"/>
            </w:tcBorders>
            <w:hideMark/>
          </w:tcPr>
          <w:p w14:paraId="164284A4" w14:textId="77777777" w:rsidR="003B0AC9" w:rsidRDefault="003B0AC9">
            <w:pPr>
              <w:rPr>
                <w:rFonts w:ascii="Calibri" w:hAnsi="Calibri"/>
              </w:rPr>
            </w:pPr>
            <w:r>
              <w:t>2017/18</w:t>
            </w:r>
          </w:p>
        </w:tc>
        <w:tc>
          <w:tcPr>
            <w:tcW w:w="2042" w:type="dxa"/>
            <w:tcBorders>
              <w:top w:val="single" w:sz="4" w:space="0" w:color="auto"/>
              <w:left w:val="nil"/>
              <w:bottom w:val="single" w:sz="8" w:space="0" w:color="auto"/>
              <w:right w:val="nil"/>
            </w:tcBorders>
          </w:tcPr>
          <w:p w14:paraId="10E75009" w14:textId="3EFD1CAF" w:rsidR="003B0AC9" w:rsidRPr="00F7347D" w:rsidRDefault="00F7347D" w:rsidP="00C40F99">
            <w:pPr>
              <w:jc w:val="center"/>
              <w:rPr>
                <w:rFonts w:ascii="Calibri" w:hAnsi="Calibri"/>
              </w:rPr>
            </w:pPr>
            <w:r w:rsidRPr="00F7347D">
              <w:t>£32,842,8</w:t>
            </w:r>
            <w:r w:rsidR="00C40F99">
              <w:t>13</w:t>
            </w:r>
          </w:p>
        </w:tc>
        <w:tc>
          <w:tcPr>
            <w:tcW w:w="1701" w:type="dxa"/>
            <w:tcBorders>
              <w:top w:val="single" w:sz="4" w:space="0" w:color="auto"/>
              <w:left w:val="nil"/>
              <w:bottom w:val="single" w:sz="8" w:space="0" w:color="auto"/>
              <w:right w:val="nil"/>
            </w:tcBorders>
          </w:tcPr>
          <w:p w14:paraId="14F6358D" w14:textId="108FD105" w:rsidR="003B0AC9" w:rsidRPr="00F7347D" w:rsidRDefault="00F7347D" w:rsidP="00C40F99">
            <w:pPr>
              <w:jc w:val="center"/>
            </w:pPr>
            <w:r w:rsidRPr="00F7347D">
              <w:t>0.</w:t>
            </w:r>
            <w:r w:rsidR="00C40F99">
              <w:t>505237</w:t>
            </w:r>
            <w:r w:rsidRPr="00F7347D">
              <w:t>%</w:t>
            </w:r>
          </w:p>
        </w:tc>
        <w:tc>
          <w:tcPr>
            <w:tcW w:w="1178" w:type="dxa"/>
            <w:tcBorders>
              <w:top w:val="single" w:sz="4" w:space="0" w:color="auto"/>
              <w:left w:val="nil"/>
              <w:bottom w:val="single" w:sz="8" w:space="0" w:color="auto"/>
              <w:right w:val="nil"/>
            </w:tcBorders>
          </w:tcPr>
          <w:p w14:paraId="44711240" w14:textId="74CFC5EC" w:rsidR="003B0AC9" w:rsidRPr="00F7347D" w:rsidRDefault="00F7347D" w:rsidP="00F7347D">
            <w:pPr>
              <w:jc w:val="center"/>
              <w:rPr>
                <w:rFonts w:asciiTheme="minorHAnsi" w:hAnsiTheme="minorHAnsi"/>
              </w:rPr>
            </w:pPr>
            <w:r w:rsidRPr="00F7347D">
              <w:t>183/365</w:t>
            </w:r>
          </w:p>
        </w:tc>
        <w:tc>
          <w:tcPr>
            <w:tcW w:w="1605" w:type="dxa"/>
            <w:tcBorders>
              <w:top w:val="single" w:sz="4" w:space="0" w:color="auto"/>
              <w:left w:val="nil"/>
              <w:bottom w:val="single" w:sz="8" w:space="0" w:color="auto"/>
              <w:right w:val="nil"/>
            </w:tcBorders>
          </w:tcPr>
          <w:p w14:paraId="40D60BA6" w14:textId="20077D00" w:rsidR="003B0AC9" w:rsidRPr="00F7347D" w:rsidRDefault="00F7347D" w:rsidP="00C40F99">
            <w:pPr>
              <w:jc w:val="center"/>
            </w:pPr>
            <w:r w:rsidRPr="00C40F99">
              <w:t>£8</w:t>
            </w:r>
            <w:r w:rsidR="00C40F99" w:rsidRPr="00C40F99">
              <w:t>3</w:t>
            </w:r>
            <w:r w:rsidRPr="00C40F99">
              <w:t>,</w:t>
            </w:r>
            <w:r w:rsidR="00C40F99" w:rsidRPr="00C40F99">
              <w:t>194</w:t>
            </w:r>
          </w:p>
        </w:tc>
      </w:tr>
    </w:tbl>
    <w:p w14:paraId="539565FA" w14:textId="5365736A" w:rsidR="00F559DD" w:rsidRDefault="00F559DD" w:rsidP="00F559DD"/>
    <w:p w14:paraId="13977023" w14:textId="77777777" w:rsidR="00AE3E5B" w:rsidRDefault="00AE3E5B" w:rsidP="00175A9C">
      <w:pPr>
        <w:rPr>
          <w:rFonts w:ascii="Times New Roman" w:hAnsi="Times New Roman"/>
          <w:sz w:val="14"/>
          <w:szCs w:val="14"/>
        </w:rPr>
      </w:pPr>
    </w:p>
    <w:p w14:paraId="65F565A6" w14:textId="4061A2EB" w:rsidR="00175A9C" w:rsidRDefault="00175A9C" w:rsidP="006B1A1A">
      <w:r>
        <w:t>Although a favourable</w:t>
      </w:r>
      <w:r w:rsidRPr="00287AD7">
        <w:t xml:space="preserve"> out</w:t>
      </w:r>
      <w:r w:rsidR="00AE3E5B">
        <w:t>-</w:t>
      </w:r>
      <w:r w:rsidRPr="00287AD7">
        <w:t>turn variance is anticipated</w:t>
      </w:r>
      <w:r>
        <w:t xml:space="preserve">, </w:t>
      </w:r>
      <w:r w:rsidRPr="00287AD7">
        <w:t>the likelihood is that the average rate will reduce as the year goes on</w:t>
      </w:r>
      <w:r w:rsidR="0021312B">
        <w:t xml:space="preserve"> as greater cash balances present greater difficulty to place cash within the constraints of the Treasury Strategy.</w:t>
      </w:r>
    </w:p>
    <w:p w14:paraId="0E5D1292" w14:textId="77777777" w:rsidR="000C4B67" w:rsidRPr="00913DA5" w:rsidRDefault="000C4B67" w:rsidP="00175A9C"/>
    <w:p w14:paraId="12496DD8" w14:textId="77777777" w:rsidR="00236398" w:rsidRDefault="00F559DD" w:rsidP="00F559DD">
      <w:r w:rsidRPr="00F559DD">
        <w:rPr>
          <w:rFonts w:ascii="Times New Roman" w:hAnsi="Times New Roman"/>
          <w:sz w:val="14"/>
          <w:szCs w:val="14"/>
        </w:rPr>
        <w:t xml:space="preserve">     </w:t>
      </w:r>
    </w:p>
    <w:p w14:paraId="2607B776" w14:textId="66ACE7D5" w:rsidR="001B0005" w:rsidRDefault="001B0005" w:rsidP="001B0005">
      <w:pPr>
        <w:pStyle w:val="Heading3"/>
      </w:pPr>
      <w:r>
        <w:t>Investment Property</w:t>
      </w:r>
      <w:r w:rsidR="0070166F">
        <w:t xml:space="preserve"> rental income</w:t>
      </w:r>
    </w:p>
    <w:p w14:paraId="33B5AC28" w14:textId="77777777" w:rsidR="00AE3E5B" w:rsidRPr="00AE3E5B" w:rsidRDefault="00AE3E5B" w:rsidP="00AE3E5B"/>
    <w:p w14:paraId="0FC0736B" w14:textId="0566389A" w:rsidR="00D50F2B" w:rsidRPr="001B721C" w:rsidRDefault="0057654E" w:rsidP="00D50F2B">
      <w:r w:rsidRPr="001B721C">
        <w:t>Rental</w:t>
      </w:r>
      <w:r w:rsidR="00024833" w:rsidRPr="001B721C">
        <w:t xml:space="preserve"> income </w:t>
      </w:r>
      <w:r w:rsidR="002D66B7" w:rsidRPr="001B721C">
        <w:t xml:space="preserve">to </w:t>
      </w:r>
      <w:r w:rsidR="002479CA" w:rsidRPr="001B721C">
        <w:t>September</w:t>
      </w:r>
      <w:r w:rsidR="002D66B7" w:rsidRPr="001B721C">
        <w:t xml:space="preserve"> </w:t>
      </w:r>
      <w:r w:rsidRPr="001B721C">
        <w:t>is £</w:t>
      </w:r>
      <w:r w:rsidR="001B721C" w:rsidRPr="001B721C">
        <w:t>1</w:t>
      </w:r>
      <w:r w:rsidR="002D66B7" w:rsidRPr="001B721C">
        <w:t>4</w:t>
      </w:r>
      <w:r w:rsidR="00024833" w:rsidRPr="001B721C">
        <w:t xml:space="preserve">,000 </w:t>
      </w:r>
      <w:r w:rsidR="001B721C" w:rsidRPr="001B721C">
        <w:t>lower</w:t>
      </w:r>
      <w:r w:rsidRPr="001B721C">
        <w:t xml:space="preserve"> </w:t>
      </w:r>
      <w:r w:rsidR="00B37268" w:rsidRPr="001B721C">
        <w:t xml:space="preserve">overall </w:t>
      </w:r>
      <w:r w:rsidRPr="001B721C">
        <w:t>than budgeted</w:t>
      </w:r>
      <w:r w:rsidR="00E83CCD" w:rsidRPr="001B721C">
        <w:t xml:space="preserve"> for the period</w:t>
      </w:r>
      <w:r w:rsidRPr="001B721C">
        <w:t xml:space="preserve">. </w:t>
      </w:r>
      <w:r w:rsidR="00380D13" w:rsidRPr="001B721C">
        <w:t xml:space="preserve">This is a reduction from the </w:t>
      </w:r>
      <w:r w:rsidR="00C93EE8" w:rsidRPr="001B721C">
        <w:t xml:space="preserve">income </w:t>
      </w:r>
      <w:r w:rsidR="00380D13" w:rsidRPr="001B721C">
        <w:t xml:space="preserve">position reported in June due to a large unit being vacated and not re-let yet due to an investigation regarding the previous occupants. </w:t>
      </w:r>
      <w:r w:rsidR="00C93EE8" w:rsidRPr="001B721C">
        <w:t xml:space="preserve">This is mitigated partly by the letting of smaller units and consequently although the overall floor area occupied remains at 96% let, there has been a marginal </w:t>
      </w:r>
      <w:r w:rsidR="0079768A" w:rsidRPr="001B721C">
        <w:t xml:space="preserve">increase in the </w:t>
      </w:r>
      <w:r w:rsidR="00C93EE8" w:rsidRPr="001B721C">
        <w:t>number of u</w:t>
      </w:r>
      <w:r w:rsidR="005437F3" w:rsidRPr="001B721C">
        <w:t xml:space="preserve">nits let </w:t>
      </w:r>
      <w:r w:rsidR="00C93EE8" w:rsidRPr="001B721C">
        <w:t xml:space="preserve">from 95% </w:t>
      </w:r>
      <w:r w:rsidR="005437F3" w:rsidRPr="001B721C">
        <w:t xml:space="preserve">at the end of the first quarter to 96% let at the end of </w:t>
      </w:r>
      <w:r w:rsidR="002479CA" w:rsidRPr="001B721C">
        <w:t>September</w:t>
      </w:r>
      <w:r w:rsidR="00C93EE8" w:rsidRPr="001B721C">
        <w:t>.</w:t>
      </w:r>
      <w:r w:rsidR="005437F3" w:rsidRPr="001B721C">
        <w:t xml:space="preserve"> </w:t>
      </w:r>
      <w:r w:rsidR="002B38C5" w:rsidRPr="001B721C">
        <w:t>The budget assumptions on void rates will be reviewed and updated.</w:t>
      </w:r>
    </w:p>
    <w:p w14:paraId="0E139D61" w14:textId="77777777" w:rsidR="00A34D36" w:rsidRPr="001B721C" w:rsidRDefault="00A34D36" w:rsidP="009D7414"/>
    <w:p w14:paraId="21895BD2" w14:textId="63A03937" w:rsidR="009D7414" w:rsidRPr="001B721C" w:rsidRDefault="009D7414" w:rsidP="009D7414">
      <w:pPr>
        <w:pStyle w:val="Heading3"/>
      </w:pPr>
      <w:r w:rsidRPr="001B721C">
        <w:t xml:space="preserve">Business Rates Retention </w:t>
      </w:r>
      <w:r w:rsidR="006F5C4E" w:rsidRPr="001B721C">
        <w:t>- BRR</w:t>
      </w:r>
    </w:p>
    <w:p w14:paraId="669948AC" w14:textId="77777777" w:rsidR="006F5C4E" w:rsidRPr="006F5C4E" w:rsidRDefault="006F5C4E" w:rsidP="006F5C4E"/>
    <w:p w14:paraId="2D944901" w14:textId="259EB9EA" w:rsidR="006F6FCD" w:rsidRDefault="006F6FCD" w:rsidP="006F6FCD">
      <w:r w:rsidRPr="00551DF1">
        <w:t xml:space="preserve">Regular monitoring is being undertaken as increases or reductions in the tax base will impact on current and future years funding.  The current trend is favourable, with </w:t>
      </w:r>
      <w:r>
        <w:t xml:space="preserve">the Council’s share of </w:t>
      </w:r>
      <w:r w:rsidRPr="00551DF1">
        <w:t xml:space="preserve">net growth to date in the region of </w:t>
      </w:r>
      <w:r w:rsidRPr="003C09E2">
        <w:t>£</w:t>
      </w:r>
      <w:r>
        <w:t>55</w:t>
      </w:r>
      <w:r w:rsidRPr="003C09E2">
        <w:t xml:space="preserve">,000 </w:t>
      </w:r>
      <w:r>
        <w:t xml:space="preserve">against the </w:t>
      </w:r>
      <w:r w:rsidR="006F5C4E">
        <w:t xml:space="preserve">anticipated increase </w:t>
      </w:r>
      <w:r>
        <w:t xml:space="preserve">of £100,000. Prior to the Council entering the Lancashire Pooling Agreement any growth against the government baseline would have resulted in an additional levy payment and therefore an </w:t>
      </w:r>
      <w:r w:rsidRPr="00943161">
        <w:t>in-year budget overspend</w:t>
      </w:r>
      <w:r>
        <w:t>.  The pooling agreement for 2017/18 currently means that additional income generated by tax base growth is retained locally following a 10% contribution to Lancashire County Council.</w:t>
      </w:r>
    </w:p>
    <w:p w14:paraId="24CA6DF6" w14:textId="77777777" w:rsidR="006F5C4E" w:rsidRDefault="006F5C4E" w:rsidP="006F6FCD"/>
    <w:p w14:paraId="7EFE70D4" w14:textId="77777777" w:rsidR="00391A62" w:rsidRDefault="006F5C4E" w:rsidP="006F6FCD">
      <w:r>
        <w:t xml:space="preserve">The impact of the Lancashire Pooling Agreement is very positive and resulted in £5.1m being retained within Lancashire in 2016/17, this will have a favourable impact on the risk profile of BRR and therefore on the budget planning assumptions if the borough’s outstanding appeals profile does not experience an influx of additional appeals into the Valuation Office Agency (VOA).   </w:t>
      </w:r>
    </w:p>
    <w:p w14:paraId="063CF921" w14:textId="77777777" w:rsidR="00FA1342" w:rsidRDefault="00FA1342" w:rsidP="006F6FCD"/>
    <w:p w14:paraId="04E94A4A" w14:textId="023B7872" w:rsidR="006F5C4E" w:rsidRDefault="006F5C4E" w:rsidP="006F6FCD">
      <w:r>
        <w:t>A review of the risk profile of BRR is currently being undertaken as part of the Council’s Medium Term Financial Strategy and its Strategic Review of Reserves</w:t>
      </w:r>
      <w:r w:rsidR="00821652">
        <w:t xml:space="preserve"> the outcome of which will impact on the budget challenge assessment in future years</w:t>
      </w:r>
      <w:r>
        <w:t>.</w:t>
      </w:r>
    </w:p>
    <w:p w14:paraId="7046C04F" w14:textId="77777777" w:rsidR="00F9588C" w:rsidRDefault="00F9588C" w:rsidP="006F6FCD"/>
    <w:p w14:paraId="654C940D" w14:textId="77777777" w:rsidR="00F9588C" w:rsidRDefault="00F9588C" w:rsidP="006F6FCD"/>
    <w:p w14:paraId="5DCE0A89" w14:textId="77777777" w:rsidR="006F5C4E" w:rsidRDefault="006F5C4E" w:rsidP="006F6FCD"/>
    <w:p w14:paraId="1317FBFE" w14:textId="77777777" w:rsidR="009D7414" w:rsidRDefault="009D7414" w:rsidP="009D7414">
      <w:pPr>
        <w:pStyle w:val="Heading1"/>
      </w:pPr>
      <w:r>
        <w:t>Overall Commentary</w:t>
      </w:r>
    </w:p>
    <w:p w14:paraId="147E1E03" w14:textId="77777777" w:rsidR="00A22A3E" w:rsidRPr="00A22A3E" w:rsidRDefault="00A22A3E" w:rsidP="00A22A3E"/>
    <w:p w14:paraId="1A2B07F5" w14:textId="109AD0F8" w:rsidR="00E32DC0" w:rsidRPr="00A35989" w:rsidRDefault="009D7414" w:rsidP="009D7414">
      <w:r w:rsidRPr="00A35989">
        <w:t>It is pleasing to report that the financial position as at 3</w:t>
      </w:r>
      <w:r w:rsidR="002479CA">
        <w:t>0th</w:t>
      </w:r>
      <w:r w:rsidR="00123F1D">
        <w:t xml:space="preserve"> </w:t>
      </w:r>
      <w:r w:rsidR="002479CA">
        <w:t>September</w:t>
      </w:r>
      <w:r w:rsidR="00123F1D">
        <w:t xml:space="preserve"> </w:t>
      </w:r>
      <w:r w:rsidRPr="00A35989">
        <w:t>201</w:t>
      </w:r>
      <w:r w:rsidR="002E6999" w:rsidRPr="00A35989">
        <w:t>7</w:t>
      </w:r>
      <w:r w:rsidRPr="00A35989">
        <w:t xml:space="preserve"> shows that the Council is performing well and </w:t>
      </w:r>
      <w:r w:rsidR="00F9588C">
        <w:t xml:space="preserve">generally in line with </w:t>
      </w:r>
      <w:r w:rsidRPr="00A35989">
        <w:t>its profiled budget</w:t>
      </w:r>
      <w:r w:rsidR="00E32DC0" w:rsidRPr="00A35989">
        <w:t xml:space="preserve"> whilst also accommodating additional project costs</w:t>
      </w:r>
      <w:r w:rsidR="00F9588C">
        <w:t xml:space="preserve"> and one-off staffing costs</w:t>
      </w:r>
      <w:r w:rsidRPr="00A35989">
        <w:t xml:space="preserve">. It is important to note, however, that this is based on a number of </w:t>
      </w:r>
      <w:r w:rsidR="00A22A3E" w:rsidRPr="00A35989">
        <w:t xml:space="preserve">forecasting </w:t>
      </w:r>
      <w:r w:rsidRPr="00A35989">
        <w:t xml:space="preserve">assumptions made with regard to expected spending patterns and levels of income received.  Therefore, it is too early to predict </w:t>
      </w:r>
      <w:r w:rsidR="002E0BFC" w:rsidRPr="00A35989">
        <w:t xml:space="preserve">accurately </w:t>
      </w:r>
      <w:r w:rsidRPr="00A35989">
        <w:t xml:space="preserve">the projected </w:t>
      </w:r>
      <w:r w:rsidR="002E0BFC" w:rsidRPr="00A35989">
        <w:t xml:space="preserve">year-end </w:t>
      </w:r>
      <w:r w:rsidRPr="00A35989">
        <w:t>position.</w:t>
      </w:r>
      <w:r w:rsidR="00A22A3E" w:rsidRPr="00A35989">
        <w:t xml:space="preserve">  </w:t>
      </w:r>
    </w:p>
    <w:p w14:paraId="7FDCFCD2" w14:textId="77777777" w:rsidR="00E32DC0" w:rsidRPr="00A35989" w:rsidRDefault="00E32DC0" w:rsidP="009D7414"/>
    <w:p w14:paraId="5AB38065" w14:textId="13421598" w:rsidR="00CD455E" w:rsidRPr="00A35989" w:rsidRDefault="009D7414" w:rsidP="009D7414">
      <w:r w:rsidRPr="00A35989">
        <w:lastRenderedPageBreak/>
        <w:t xml:space="preserve">In summary, </w:t>
      </w:r>
      <w:r w:rsidR="00A22A3E" w:rsidRPr="00A35989">
        <w:t xml:space="preserve">financial </w:t>
      </w:r>
      <w:r w:rsidRPr="00A35989">
        <w:t>performance against budget as at 3</w:t>
      </w:r>
      <w:r w:rsidR="002479CA">
        <w:t>0th</w:t>
      </w:r>
      <w:r w:rsidR="00123F1D">
        <w:t xml:space="preserve"> </w:t>
      </w:r>
      <w:r w:rsidR="002479CA">
        <w:t>September</w:t>
      </w:r>
      <w:r w:rsidR="00123F1D">
        <w:t xml:space="preserve"> 2</w:t>
      </w:r>
      <w:r w:rsidRPr="00A35989">
        <w:t>01</w:t>
      </w:r>
      <w:r w:rsidR="002E6999" w:rsidRPr="00A35989">
        <w:t>7</w:t>
      </w:r>
      <w:r w:rsidRPr="00A35989">
        <w:t xml:space="preserve"> is </w:t>
      </w:r>
      <w:r w:rsidR="00E32DC0" w:rsidRPr="00A35989">
        <w:t>co</w:t>
      </w:r>
      <w:r w:rsidR="00A22A3E" w:rsidRPr="00A35989">
        <w:t>nsistent with the period’s anticipated spending level</w:t>
      </w:r>
      <w:r w:rsidR="00E32DC0" w:rsidRPr="00A35989">
        <w:t xml:space="preserve">, however all Budget Holders and Directors are required to closely monitor all spend to ensure that no overspending </w:t>
      </w:r>
      <w:r w:rsidR="00CD455E" w:rsidRPr="00A35989">
        <w:t xml:space="preserve">on individual budget heads </w:t>
      </w:r>
      <w:r w:rsidR="00A22A3E" w:rsidRPr="00A35989">
        <w:t>occurs.</w:t>
      </w:r>
      <w:r w:rsidR="00CD455E" w:rsidRPr="00A35989">
        <w:t xml:space="preserve">  </w:t>
      </w:r>
    </w:p>
    <w:p w14:paraId="335177F6" w14:textId="77777777" w:rsidR="00CD455E" w:rsidRPr="00A35989" w:rsidRDefault="00CD455E" w:rsidP="009D7414"/>
    <w:p w14:paraId="7F3679A7" w14:textId="393F4D36" w:rsidR="00A8635A" w:rsidRPr="00A35989" w:rsidRDefault="009D7414" w:rsidP="009D7414">
      <w:r w:rsidRPr="00A35989">
        <w:t xml:space="preserve">The current position is being closely monitored with particular regard to </w:t>
      </w:r>
      <w:r w:rsidR="002E0BFC" w:rsidRPr="00A35989">
        <w:t xml:space="preserve">volatile </w:t>
      </w:r>
      <w:r w:rsidRPr="00A35989">
        <w:t>budgets that are subject to fluctuation and therefore present a higher risk</w:t>
      </w:r>
      <w:r w:rsidR="002E0BFC" w:rsidRPr="00A35989">
        <w:t>,</w:t>
      </w:r>
      <w:r w:rsidRPr="00A35989">
        <w:t xml:space="preserve"> updates </w:t>
      </w:r>
      <w:r w:rsidR="00F4036C" w:rsidRPr="00A35989">
        <w:t xml:space="preserve">are </w:t>
      </w:r>
      <w:r w:rsidRPr="00A35989">
        <w:t>being reported during the course of the year.</w:t>
      </w:r>
      <w:r w:rsidR="00A22A3E" w:rsidRPr="00A35989">
        <w:t xml:space="preserve">  All material budget variations, the potential impact on future budget forecast and the resulting movement in reserves are reported to Members in accordance with the reporting cycle and as soon as practicably possible.</w:t>
      </w:r>
      <w:r w:rsidR="00821652" w:rsidRPr="00A35989">
        <w:t xml:space="preserve">  </w:t>
      </w:r>
      <w:r w:rsidR="00A8635A" w:rsidRPr="00A35989">
        <w:t>The impact of external factors on budget performance are highlighted through this report and therefore the outcome of the Resource Review  into City Deal will be included in future reports when it’s outcome is published.</w:t>
      </w:r>
    </w:p>
    <w:p w14:paraId="49EFBAC1" w14:textId="77777777" w:rsidR="00C929AB" w:rsidRPr="00A35989" w:rsidRDefault="00C929AB" w:rsidP="009D7414"/>
    <w:p w14:paraId="0CDC4E71" w14:textId="429B53E1" w:rsidR="00C929AB" w:rsidRDefault="00C929AB" w:rsidP="009D7414">
      <w:r w:rsidRPr="00A35989">
        <w:t>It is important to note that the updated start position as at 01/04/17, after the accounts have been closed for the previous year, and any significant in-year variations will be applied to the 2018/19 Budget setting process which support the refresh of the Corporate Plan and Prior</w:t>
      </w:r>
      <w:r w:rsidR="00A35989" w:rsidRPr="00A35989">
        <w:t>i</w:t>
      </w:r>
      <w:r w:rsidR="00A35989">
        <w:t>ties.</w:t>
      </w:r>
    </w:p>
    <w:p w14:paraId="02A30249" w14:textId="77777777" w:rsidR="00A35989" w:rsidRDefault="00A35989" w:rsidP="009D7414"/>
    <w:p w14:paraId="5BEDC2C5" w14:textId="38067681" w:rsidR="00A35989" w:rsidRDefault="00A35989" w:rsidP="009D7414">
      <w:r>
        <w:t>The key messages to date are:</w:t>
      </w:r>
    </w:p>
    <w:p w14:paraId="4B55DCDA" w14:textId="77777777" w:rsidR="00A35989" w:rsidRDefault="00A35989" w:rsidP="009D7414"/>
    <w:p w14:paraId="6AFD0E80" w14:textId="258A87EC" w:rsidR="00A35989" w:rsidRDefault="00A35989" w:rsidP="00A35989">
      <w:pPr>
        <w:pStyle w:val="ListParagraph"/>
        <w:numPr>
          <w:ilvl w:val="0"/>
          <w:numId w:val="15"/>
        </w:numPr>
        <w:ind w:right="707"/>
      </w:pPr>
      <w:r>
        <w:t>There is a favourable, yet non-material budget variation with regard to the revenue budget.  This underspend is being used to fund costs in respect of the Business Transformational Change Programme.</w:t>
      </w:r>
      <w:r w:rsidR="00A23253">
        <w:t xml:space="preserve">  The ongoing realisation of the variation at out-turn will be dependent on the continued receipt of Planning Fess income which cannot be guaranteed at this stage in the year.</w:t>
      </w:r>
    </w:p>
    <w:p w14:paraId="0A64A5F6" w14:textId="2C22792E" w:rsidR="00A35989" w:rsidRDefault="00A35989" w:rsidP="00A35989">
      <w:pPr>
        <w:pStyle w:val="ListParagraph"/>
        <w:numPr>
          <w:ilvl w:val="0"/>
          <w:numId w:val="15"/>
        </w:numPr>
        <w:ind w:right="707"/>
      </w:pPr>
      <w:r>
        <w:t xml:space="preserve">The Capital Programme reported highlights a forecasted variation at the end of the year.  Some Capital Resources will be rolled forward to allow the scheme to be completed in the next financial year.  ICT expenditure commitments are currently under review so that they are aligned to delivering maximum efficiencies within the BT programme. </w:t>
      </w:r>
    </w:p>
    <w:p w14:paraId="0AED1ACA" w14:textId="4B4D8ECD" w:rsidR="001E740B" w:rsidRPr="002C6A03" w:rsidRDefault="00A35989" w:rsidP="00FD005B">
      <w:pPr>
        <w:pStyle w:val="ListParagraph"/>
        <w:numPr>
          <w:ilvl w:val="0"/>
          <w:numId w:val="15"/>
        </w:numPr>
        <w:ind w:right="707"/>
        <w:rPr>
          <w:b/>
        </w:rPr>
      </w:pPr>
      <w:r>
        <w:t>The impact of the year end out-turn position and any significant in-year variations will be included in the 2018/19 Budget setting round.  The outcome of which will be to support the Corporate Plan and Corporate Risk Register that will be refreshed over the forthcoming months and progress the Council in one of its strategic aim</w:t>
      </w:r>
      <w:r w:rsidR="002C6A03">
        <w:t>s of becoming financially self-sufficient.</w:t>
      </w:r>
    </w:p>
    <w:p w14:paraId="796C3D70" w14:textId="77777777" w:rsidR="002C6A03" w:rsidRDefault="002C6A03" w:rsidP="009D7414">
      <w:pPr>
        <w:rPr>
          <w:b/>
        </w:rPr>
      </w:pPr>
    </w:p>
    <w:p w14:paraId="3AF7CDE3" w14:textId="77777777" w:rsidR="00CD455E" w:rsidRDefault="00CD455E" w:rsidP="009D7414">
      <w:pPr>
        <w:rPr>
          <w:b/>
        </w:rPr>
      </w:pPr>
      <w:r w:rsidRPr="00CD455E">
        <w:rPr>
          <w:b/>
        </w:rPr>
        <w:t>Reporting Parameters</w:t>
      </w:r>
    </w:p>
    <w:p w14:paraId="7FE0A66E" w14:textId="77777777" w:rsidR="00A22A3E" w:rsidRPr="00CD455E" w:rsidRDefault="00A22A3E" w:rsidP="009D7414">
      <w:pPr>
        <w:rPr>
          <w:b/>
        </w:rPr>
      </w:pPr>
    </w:p>
    <w:p w14:paraId="4FA26038" w14:textId="7C70A932" w:rsidR="00CD455E" w:rsidRDefault="00CD455E" w:rsidP="009D7414">
      <w:r w:rsidRPr="00CD455E">
        <w:t>Year-end balance sheet and collection fund adjustments that impact on the revenue bud</w:t>
      </w:r>
      <w:r w:rsidR="00F4036C">
        <w:t>get are outwith the scope of this</w:t>
      </w:r>
      <w:r w:rsidRPr="00CD455E">
        <w:t xml:space="preserve"> </w:t>
      </w:r>
      <w:r w:rsidR="008303DC">
        <w:t>report.</w:t>
      </w:r>
      <w:r w:rsidR="008656F5">
        <w:t xml:space="preserve">  Nevertheless with effect from the half year report the budget management report will be aligned to performance report of the Corporate Plan and include a wider context with regard to </w:t>
      </w:r>
      <w:r w:rsidR="00455264">
        <w:t xml:space="preserve">a Revised Estimate in respect of </w:t>
      </w:r>
      <w:r w:rsidR="008656F5">
        <w:t>Capital Resources and Earmarked Reserves</w:t>
      </w:r>
      <w:r w:rsidR="00391A62">
        <w:t xml:space="preserve"> forecasts</w:t>
      </w:r>
      <w:r w:rsidR="008656F5">
        <w:t>.</w:t>
      </w:r>
    </w:p>
    <w:p w14:paraId="1948A632" w14:textId="77777777" w:rsidR="00F9588C" w:rsidRPr="00CD455E" w:rsidRDefault="00F9588C" w:rsidP="009D7414"/>
    <w:p w14:paraId="3998F323" w14:textId="77777777" w:rsidR="008303DC" w:rsidRDefault="009D7414" w:rsidP="009D7414">
      <w:pPr>
        <w:pStyle w:val="Heading1"/>
      </w:pPr>
      <w:r w:rsidRPr="001C43EC">
        <w:t>Capital Programme</w:t>
      </w:r>
    </w:p>
    <w:p w14:paraId="1B512A16" w14:textId="3BB457E9" w:rsidR="009D7414" w:rsidRPr="001C43EC" w:rsidRDefault="00501E11" w:rsidP="008303DC">
      <w:pPr>
        <w:pStyle w:val="Heading1"/>
        <w:numPr>
          <w:ilvl w:val="0"/>
          <w:numId w:val="0"/>
        </w:numPr>
        <w:ind w:left="357"/>
      </w:pPr>
      <w:r w:rsidRPr="001C43EC">
        <w:t xml:space="preserve">   </w:t>
      </w:r>
    </w:p>
    <w:p w14:paraId="13C8413F" w14:textId="4E386CFA" w:rsidR="004F26D6" w:rsidRDefault="009D7414" w:rsidP="00024833">
      <w:r w:rsidRPr="002E6999">
        <w:t xml:space="preserve">Details of the Council’s capital spending, by project is contained in </w:t>
      </w:r>
      <w:r w:rsidRPr="00594694">
        <w:rPr>
          <w:b/>
        </w:rPr>
        <w:t xml:space="preserve">Appendix </w:t>
      </w:r>
      <w:r w:rsidR="00594694" w:rsidRPr="00594694">
        <w:rPr>
          <w:b/>
        </w:rPr>
        <w:t>T</w:t>
      </w:r>
      <w:r w:rsidR="00913251">
        <w:rPr>
          <w:b/>
        </w:rPr>
        <w:t>wo</w:t>
      </w:r>
      <w:r w:rsidRPr="002E6999">
        <w:t xml:space="preserve">.  </w:t>
      </w:r>
      <w:r w:rsidR="004F26D6" w:rsidRPr="00936F39">
        <w:t>The original budget for 201</w:t>
      </w:r>
      <w:r w:rsidR="00586E1C" w:rsidRPr="00936F39">
        <w:t>7/18</w:t>
      </w:r>
      <w:r w:rsidR="004F26D6" w:rsidRPr="00936F39">
        <w:t xml:space="preserve"> was £</w:t>
      </w:r>
      <w:r w:rsidR="00936F39" w:rsidRPr="00936F39">
        <w:t>4</w:t>
      </w:r>
      <w:r w:rsidR="004F26D6" w:rsidRPr="00936F39">
        <w:t>,4</w:t>
      </w:r>
      <w:r w:rsidR="00936F39" w:rsidRPr="00936F39">
        <w:t>04,522</w:t>
      </w:r>
      <w:r w:rsidR="004F26D6" w:rsidRPr="00936F39">
        <w:t xml:space="preserve"> which increased to £</w:t>
      </w:r>
      <w:r w:rsidR="00936F39" w:rsidRPr="00936F39">
        <w:t>4</w:t>
      </w:r>
      <w:r w:rsidR="004F26D6" w:rsidRPr="00936F39">
        <w:t>,</w:t>
      </w:r>
      <w:r w:rsidR="00936F39" w:rsidRPr="00936F39">
        <w:t>852</w:t>
      </w:r>
      <w:r w:rsidR="004F26D6" w:rsidRPr="00936F39">
        <w:t>,</w:t>
      </w:r>
      <w:r w:rsidR="00936F39" w:rsidRPr="00936F39">
        <w:t>470</w:t>
      </w:r>
      <w:r w:rsidR="004F26D6" w:rsidRPr="00936F39">
        <w:t xml:space="preserve"> as a result of</w:t>
      </w:r>
      <w:r w:rsidR="008D0E82" w:rsidRPr="00936F39">
        <w:t>:</w:t>
      </w:r>
      <w:r w:rsidR="004F26D6" w:rsidRPr="00936F39">
        <w:t xml:space="preserve"> </w:t>
      </w:r>
    </w:p>
    <w:p w14:paraId="6C2E1A16" w14:textId="77777777" w:rsidR="00FA1342" w:rsidRPr="00936F39" w:rsidRDefault="00FA1342" w:rsidP="00024833"/>
    <w:p w14:paraId="1C1A4E6C" w14:textId="77777777" w:rsidR="004F26D6" w:rsidRPr="007C6170" w:rsidRDefault="004F26D6" w:rsidP="004F26D6">
      <w:pPr>
        <w:pStyle w:val="ListParagraph"/>
        <w:numPr>
          <w:ilvl w:val="0"/>
          <w:numId w:val="10"/>
        </w:numPr>
      </w:pPr>
      <w:r w:rsidRPr="007C6170">
        <w:t>slippage of schemes from 201</w:t>
      </w:r>
      <w:r w:rsidR="00936F39" w:rsidRPr="007C6170">
        <w:t>6</w:t>
      </w:r>
      <w:r w:rsidRPr="007C6170">
        <w:t>/1</w:t>
      </w:r>
      <w:r w:rsidR="00936F39" w:rsidRPr="007C6170">
        <w:t>7</w:t>
      </w:r>
      <w:r w:rsidRPr="007C6170">
        <w:t xml:space="preserve"> (£</w:t>
      </w:r>
      <w:r w:rsidR="00936F39" w:rsidRPr="007C6170">
        <w:t>427</w:t>
      </w:r>
      <w:r w:rsidRPr="007C6170">
        <w:t>,</w:t>
      </w:r>
      <w:r w:rsidR="00936F39" w:rsidRPr="007C6170">
        <w:t>948</w:t>
      </w:r>
      <w:r w:rsidRPr="007C6170">
        <w:t>)</w:t>
      </w:r>
      <w:r w:rsidR="008D0E82" w:rsidRPr="007C6170">
        <w:t>;</w:t>
      </w:r>
    </w:p>
    <w:p w14:paraId="383F5256" w14:textId="77777777" w:rsidR="00356388" w:rsidRPr="00356388" w:rsidRDefault="007C6170" w:rsidP="007C6170">
      <w:pPr>
        <w:pStyle w:val="ListParagraph"/>
        <w:numPr>
          <w:ilvl w:val="0"/>
          <w:numId w:val="10"/>
        </w:numPr>
        <w:rPr>
          <w:color w:val="FF0000"/>
        </w:rPr>
      </w:pPr>
      <w:r>
        <w:t>additional approval (£20,000) -</w:t>
      </w:r>
      <w:r w:rsidR="008D0E82" w:rsidRPr="007C6170">
        <w:t xml:space="preserve"> </w:t>
      </w:r>
      <w:r w:rsidR="00936F39" w:rsidRPr="007C6170">
        <w:t>Whernside Way drainage works</w:t>
      </w:r>
      <w:r w:rsidRPr="007C6170">
        <w:t xml:space="preserve">, funded from a grant of £20,000 from the Environment Agency </w:t>
      </w:r>
      <w:r>
        <w:t xml:space="preserve">as part of their Flood Resilience Grant programme.  </w:t>
      </w:r>
    </w:p>
    <w:p w14:paraId="7046838F" w14:textId="77777777" w:rsidR="00356388" w:rsidRDefault="00356388" w:rsidP="00356388">
      <w:pPr>
        <w:ind w:left="360"/>
        <w:rPr>
          <w:color w:val="FF0000"/>
        </w:rPr>
      </w:pPr>
    </w:p>
    <w:p w14:paraId="6930D154" w14:textId="64202EF7" w:rsidR="00FA1342" w:rsidRDefault="009D7414">
      <w:r w:rsidRPr="00697CB3">
        <w:t xml:space="preserve">The projected spend is compared to the full year budget to provide an update on any current </w:t>
      </w:r>
      <w:r w:rsidR="00697CB3" w:rsidRPr="00697CB3">
        <w:t>spend progress.</w:t>
      </w:r>
      <w:r w:rsidRPr="00697CB3">
        <w:t xml:space="preserve"> </w:t>
      </w:r>
      <w:r w:rsidR="002E0BFC" w:rsidRPr="00697CB3">
        <w:t xml:space="preserve"> </w:t>
      </w:r>
      <w:r w:rsidRPr="00697CB3">
        <w:t xml:space="preserve">The expenditure </w:t>
      </w:r>
      <w:r w:rsidR="008D0E82" w:rsidRPr="00697CB3">
        <w:t xml:space="preserve">(actual plus committed) </w:t>
      </w:r>
      <w:r w:rsidRPr="00697CB3">
        <w:t xml:space="preserve">at the end of </w:t>
      </w:r>
      <w:r w:rsidR="002479CA">
        <w:t>September</w:t>
      </w:r>
      <w:r w:rsidR="00123F1D">
        <w:t xml:space="preserve"> </w:t>
      </w:r>
      <w:r w:rsidRPr="00BE4FF5">
        <w:t xml:space="preserve">totalled </w:t>
      </w:r>
      <w:r w:rsidR="001E6E64" w:rsidRPr="00BE4FF5">
        <w:t>£</w:t>
      </w:r>
      <w:r w:rsidR="00BE4FF5" w:rsidRPr="00BE4FF5">
        <w:t>1</w:t>
      </w:r>
      <w:r w:rsidR="00A67CF2" w:rsidRPr="00BE4FF5">
        <w:t>.</w:t>
      </w:r>
      <w:r w:rsidR="001B721C">
        <w:t>626</w:t>
      </w:r>
      <w:r w:rsidR="001E6E64" w:rsidRPr="00BE4FF5">
        <w:t xml:space="preserve">m </w:t>
      </w:r>
      <w:r w:rsidR="002E0BFC" w:rsidRPr="00BE4FF5">
        <w:t>which is</w:t>
      </w:r>
      <w:r w:rsidRPr="00BE4FF5">
        <w:t xml:space="preserve"> </w:t>
      </w:r>
      <w:r w:rsidR="001B721C">
        <w:t>33.5</w:t>
      </w:r>
      <w:r w:rsidRPr="00BE4FF5">
        <w:t xml:space="preserve">% of the total budget for the year of </w:t>
      </w:r>
      <w:r w:rsidR="001E6E64" w:rsidRPr="00BE4FF5">
        <w:t>£</w:t>
      </w:r>
      <w:r w:rsidR="00ED6AAD" w:rsidRPr="00BE4FF5">
        <w:t>4</w:t>
      </w:r>
      <w:r w:rsidR="001E6E64" w:rsidRPr="00BE4FF5">
        <w:t>.</w:t>
      </w:r>
      <w:r w:rsidR="00ED6AAD" w:rsidRPr="00BE4FF5">
        <w:t>852</w:t>
      </w:r>
      <w:r w:rsidRPr="00BE4FF5">
        <w:t xml:space="preserve">m. </w:t>
      </w:r>
      <w:r w:rsidR="00697CB3" w:rsidRPr="00BE4FF5">
        <w:t xml:space="preserve">Directors have </w:t>
      </w:r>
      <w:r w:rsidR="0011222C" w:rsidRPr="00BE4FF5">
        <w:t xml:space="preserve">provided </w:t>
      </w:r>
      <w:r w:rsidR="00227F3B" w:rsidRPr="00BE4FF5">
        <w:t xml:space="preserve">a spend </w:t>
      </w:r>
      <w:r w:rsidR="00697CB3" w:rsidRPr="00BE4FF5">
        <w:t>profil</w:t>
      </w:r>
      <w:r w:rsidR="00227F3B" w:rsidRPr="00BE4FF5">
        <w:t>e</w:t>
      </w:r>
      <w:r w:rsidR="00697CB3" w:rsidRPr="00BE4FF5">
        <w:t xml:space="preserve"> of schemes in order to provide a more </w:t>
      </w:r>
      <w:r w:rsidR="00697CB3" w:rsidRPr="00BE4FF5">
        <w:lastRenderedPageBreak/>
        <w:t xml:space="preserve">accurate budget variation </w:t>
      </w:r>
      <w:r w:rsidR="00227F3B">
        <w:t xml:space="preserve">reporting for Members when the programme will also be aligned to investment priorities within the Corporate Plan and </w:t>
      </w:r>
      <w:r w:rsidR="00697CB3">
        <w:t xml:space="preserve">long term investment priorities of the Council.  </w:t>
      </w:r>
      <w:r w:rsidR="003450BC" w:rsidRPr="0025229C">
        <w:t xml:space="preserve">The projected out-turn estimated at this early stage in the year shows that there is an expected </w:t>
      </w:r>
      <w:r w:rsidR="00FA1342">
        <w:t xml:space="preserve">variance </w:t>
      </w:r>
      <w:r w:rsidR="003450BC" w:rsidRPr="00BE4FF5">
        <w:t>of £1.</w:t>
      </w:r>
      <w:r w:rsidR="001B721C">
        <w:t>47</w:t>
      </w:r>
      <w:r w:rsidR="00015620">
        <w:t>5</w:t>
      </w:r>
      <w:r w:rsidR="003450BC" w:rsidRPr="00BE4FF5">
        <w:t xml:space="preserve">m.  </w:t>
      </w:r>
      <w:r w:rsidR="0025229C" w:rsidRPr="0025229C">
        <w:t>It should be noted that these are projections may change</w:t>
      </w:r>
      <w:r w:rsidR="00FA1342">
        <w:t>, for example, ICT expenditure has halted whilst future commitments are currently being assessed as part of the Business Transformational change programme and a proportion of the variance will be rolled over into the next financial year to ensure that project</w:t>
      </w:r>
      <w:r w:rsidR="00FC7FBC">
        <w:t xml:space="preserve">s are </w:t>
      </w:r>
      <w:r w:rsidR="00FA1342">
        <w:t>still delivered albeit in a different financial year than originally planned.  The impact on Capital Funding will be reported</w:t>
      </w:r>
      <w:r w:rsidR="000C4B67">
        <w:t xml:space="preserve"> in the next monitoring report when more information is available with regard to future Capital Expenditure. </w:t>
      </w:r>
    </w:p>
    <w:p w14:paraId="25B151B8" w14:textId="3885E2D7" w:rsidR="009712AD" w:rsidRPr="001C43EC" w:rsidRDefault="0064026C" w:rsidP="009712AD">
      <w:r>
        <w:rPr>
          <w:b/>
          <w:sz w:val="24"/>
          <w:szCs w:val="24"/>
        </w:rPr>
        <w:t xml:space="preserve"> </w:t>
      </w:r>
    </w:p>
    <w:p w14:paraId="1E98B8CB" w14:textId="7E58821B" w:rsidR="009712AD" w:rsidRDefault="009712AD" w:rsidP="009712AD">
      <w:pPr>
        <w:pStyle w:val="Heading1"/>
      </w:pPr>
      <w:r>
        <w:t>General and Earmarked Reserves</w:t>
      </w:r>
    </w:p>
    <w:p w14:paraId="1D73CC41" w14:textId="2EAD2814" w:rsidR="009712AD" w:rsidRDefault="009712AD" w:rsidP="00391A62">
      <w:pPr>
        <w:pStyle w:val="Heading4"/>
        <w:rPr>
          <w:rFonts w:ascii="Arial" w:hAnsi="Arial"/>
          <w:i w:val="0"/>
          <w:color w:val="auto"/>
          <w:szCs w:val="24"/>
        </w:rPr>
      </w:pPr>
      <w:r>
        <w:rPr>
          <w:rFonts w:ascii="Arial" w:hAnsi="Arial"/>
          <w:i w:val="0"/>
          <w:color w:val="auto"/>
          <w:szCs w:val="24"/>
        </w:rPr>
        <w:t>A s</w:t>
      </w:r>
      <w:r w:rsidRPr="009712AD">
        <w:rPr>
          <w:rFonts w:ascii="Arial" w:hAnsi="Arial"/>
          <w:i w:val="0"/>
          <w:color w:val="auto"/>
          <w:szCs w:val="24"/>
        </w:rPr>
        <w:t>ummary of Revenue Reserves &amp; Balances</w:t>
      </w:r>
      <w:r>
        <w:rPr>
          <w:rFonts w:ascii="Arial" w:hAnsi="Arial"/>
          <w:i w:val="0"/>
          <w:color w:val="auto"/>
          <w:szCs w:val="24"/>
        </w:rPr>
        <w:t xml:space="preserve"> as at 1</w:t>
      </w:r>
      <w:r w:rsidRPr="009712AD">
        <w:rPr>
          <w:rFonts w:ascii="Arial" w:hAnsi="Arial"/>
          <w:i w:val="0"/>
          <w:color w:val="auto"/>
          <w:szCs w:val="24"/>
          <w:vertAlign w:val="superscript"/>
        </w:rPr>
        <w:t>st</w:t>
      </w:r>
      <w:r>
        <w:rPr>
          <w:rFonts w:ascii="Arial" w:hAnsi="Arial"/>
          <w:i w:val="0"/>
          <w:color w:val="auto"/>
          <w:szCs w:val="24"/>
        </w:rPr>
        <w:t xml:space="preserve"> April was reported as part of the Budget Out</w:t>
      </w:r>
      <w:r w:rsidR="0025229C">
        <w:rPr>
          <w:rFonts w:ascii="Arial" w:hAnsi="Arial"/>
          <w:i w:val="0"/>
          <w:color w:val="auto"/>
          <w:szCs w:val="24"/>
        </w:rPr>
        <w:t>-</w:t>
      </w:r>
      <w:r>
        <w:rPr>
          <w:rFonts w:ascii="Arial" w:hAnsi="Arial"/>
          <w:i w:val="0"/>
          <w:color w:val="auto"/>
          <w:szCs w:val="24"/>
        </w:rPr>
        <w:t xml:space="preserve">turn Report in June and also in the Statement of Accounts which provides an update </w:t>
      </w:r>
      <w:r w:rsidR="0025229C">
        <w:rPr>
          <w:rFonts w:ascii="Arial" w:hAnsi="Arial"/>
          <w:i w:val="0"/>
          <w:color w:val="auto"/>
          <w:szCs w:val="24"/>
        </w:rPr>
        <w:t xml:space="preserve">to forecasted </w:t>
      </w:r>
      <w:r>
        <w:rPr>
          <w:rFonts w:ascii="Arial" w:hAnsi="Arial"/>
          <w:i w:val="0"/>
          <w:color w:val="auto"/>
          <w:szCs w:val="24"/>
        </w:rPr>
        <w:t xml:space="preserve"> Revised Estimate contained in the budget report for 2017/18. No adjustments were made to reserves in the first quarter but by means of </w:t>
      </w:r>
      <w:r w:rsidR="0025229C">
        <w:rPr>
          <w:rFonts w:ascii="Arial" w:hAnsi="Arial"/>
          <w:i w:val="0"/>
          <w:color w:val="auto"/>
          <w:szCs w:val="24"/>
        </w:rPr>
        <w:t xml:space="preserve">reporting </w:t>
      </w:r>
      <w:r>
        <w:rPr>
          <w:rFonts w:ascii="Arial" w:hAnsi="Arial"/>
          <w:i w:val="0"/>
          <w:color w:val="auto"/>
          <w:szCs w:val="24"/>
        </w:rPr>
        <w:t xml:space="preserve">a post-period material adjustment there is a cabinet recommendation going to Council in September that requests a Business Transformation Earmarked Reserve is created in the sum of £0.500m </w:t>
      </w:r>
      <w:r w:rsidR="00391A62">
        <w:rPr>
          <w:rFonts w:ascii="Arial" w:hAnsi="Arial"/>
          <w:i w:val="0"/>
          <w:color w:val="auto"/>
          <w:szCs w:val="24"/>
        </w:rPr>
        <w:t xml:space="preserve">to pump prime investment to achieve budget </w:t>
      </w:r>
      <w:r w:rsidR="0025229C">
        <w:rPr>
          <w:rFonts w:ascii="Arial" w:hAnsi="Arial"/>
          <w:i w:val="0"/>
          <w:color w:val="auto"/>
          <w:szCs w:val="24"/>
        </w:rPr>
        <w:t xml:space="preserve">efficiency </w:t>
      </w:r>
      <w:r w:rsidR="00391A62">
        <w:rPr>
          <w:rFonts w:ascii="Arial" w:hAnsi="Arial"/>
          <w:i w:val="0"/>
          <w:color w:val="auto"/>
          <w:szCs w:val="24"/>
        </w:rPr>
        <w:t>saving</w:t>
      </w:r>
      <w:r w:rsidR="0025229C">
        <w:rPr>
          <w:rFonts w:ascii="Arial" w:hAnsi="Arial"/>
          <w:i w:val="0"/>
          <w:color w:val="auto"/>
          <w:szCs w:val="24"/>
        </w:rPr>
        <w:t>s</w:t>
      </w:r>
      <w:r w:rsidR="00391A62">
        <w:rPr>
          <w:rFonts w:ascii="Arial" w:hAnsi="Arial"/>
          <w:i w:val="0"/>
          <w:color w:val="auto"/>
          <w:szCs w:val="24"/>
        </w:rPr>
        <w:t>.  The repayment of this invest to save</w:t>
      </w:r>
      <w:r w:rsidR="0025229C">
        <w:rPr>
          <w:rFonts w:ascii="Arial" w:hAnsi="Arial"/>
          <w:i w:val="0"/>
          <w:color w:val="auto"/>
          <w:szCs w:val="24"/>
        </w:rPr>
        <w:t xml:space="preserve"> funding</w:t>
      </w:r>
      <w:r w:rsidR="00391A62">
        <w:rPr>
          <w:rFonts w:ascii="Arial" w:hAnsi="Arial"/>
          <w:i w:val="0"/>
          <w:color w:val="auto"/>
          <w:szCs w:val="24"/>
        </w:rPr>
        <w:t xml:space="preserve"> </w:t>
      </w:r>
      <w:r w:rsidR="0025229C">
        <w:rPr>
          <w:rFonts w:ascii="Arial" w:hAnsi="Arial"/>
          <w:i w:val="0"/>
          <w:color w:val="auto"/>
          <w:szCs w:val="24"/>
        </w:rPr>
        <w:t>‘</w:t>
      </w:r>
      <w:r w:rsidR="00391A62">
        <w:rPr>
          <w:rFonts w:ascii="Arial" w:hAnsi="Arial"/>
          <w:i w:val="0"/>
          <w:color w:val="auto"/>
          <w:szCs w:val="24"/>
        </w:rPr>
        <w:t>pot</w:t>
      </w:r>
      <w:r w:rsidR="0025229C">
        <w:rPr>
          <w:rFonts w:ascii="Arial" w:hAnsi="Arial"/>
          <w:i w:val="0"/>
          <w:color w:val="auto"/>
          <w:szCs w:val="24"/>
        </w:rPr>
        <w:t>’</w:t>
      </w:r>
      <w:r w:rsidR="00391A62">
        <w:rPr>
          <w:rFonts w:ascii="Arial" w:hAnsi="Arial"/>
          <w:i w:val="0"/>
          <w:color w:val="auto"/>
          <w:szCs w:val="24"/>
        </w:rPr>
        <w:t xml:space="preserve"> should be taken into account as part of each business case presented within the Business Transformational change programme.</w:t>
      </w:r>
    </w:p>
    <w:p w14:paraId="1C9AB0EF" w14:textId="77777777" w:rsidR="00E570E5" w:rsidRDefault="00E570E5" w:rsidP="00E570E5"/>
    <w:p w14:paraId="10D1BC1B" w14:textId="6EE0D4E2" w:rsidR="00301443" w:rsidRDefault="00E570E5" w:rsidP="00E570E5">
      <w:r>
        <w:t>The projected reduction in balances from March 2017 to March 2018 of £5.3m is based on the following assumptions:</w:t>
      </w:r>
    </w:p>
    <w:p w14:paraId="4253C442" w14:textId="31ED324E" w:rsidR="00D4274D" w:rsidRDefault="00D4274D" w:rsidP="00D4274D">
      <w:pPr>
        <w:ind w:left="720"/>
      </w:pPr>
      <w:r>
        <w:t xml:space="preserve">Budgeted contribution from General Fund balances </w:t>
      </w:r>
      <w:r>
        <w:tab/>
      </w:r>
      <w:r>
        <w:tab/>
      </w:r>
      <w:r>
        <w:tab/>
        <w:t xml:space="preserve">            -£0.3m</w:t>
      </w:r>
    </w:p>
    <w:p w14:paraId="7582921E" w14:textId="571DD6AC" w:rsidR="00E570E5" w:rsidRDefault="00301443" w:rsidP="00D4274D">
      <w:pPr>
        <w:ind w:left="720"/>
      </w:pPr>
      <w:r>
        <w:t>Use of Borough Investment Account reserve in 2017/18</w:t>
      </w:r>
      <w:r>
        <w:tab/>
      </w:r>
      <w:r>
        <w:tab/>
      </w:r>
      <w:r w:rsidR="004F2CC9">
        <w:tab/>
      </w:r>
      <w:r w:rsidR="004F2CC9">
        <w:tab/>
        <w:t>-</w:t>
      </w:r>
      <w:r>
        <w:t>£3.8m</w:t>
      </w:r>
    </w:p>
    <w:p w14:paraId="2858FC09" w14:textId="19A50DD9" w:rsidR="00301443" w:rsidRDefault="004F2CC9" w:rsidP="00D4274D">
      <w:pPr>
        <w:ind w:left="720"/>
      </w:pPr>
      <w:r>
        <w:t xml:space="preserve">Asset Management Reserve – Capital Programme </w:t>
      </w:r>
      <w:r>
        <w:tab/>
      </w:r>
      <w:r>
        <w:tab/>
        <w:t xml:space="preserve"> </w:t>
      </w:r>
      <w:r>
        <w:tab/>
      </w:r>
      <w:r>
        <w:tab/>
      </w:r>
      <w:r>
        <w:tab/>
        <w:t>-£1.3m</w:t>
      </w:r>
    </w:p>
    <w:p w14:paraId="73D1FFCB" w14:textId="36BE16CD" w:rsidR="00435732" w:rsidRDefault="004F2CC9" w:rsidP="00D4274D">
      <w:pPr>
        <w:ind w:left="720"/>
      </w:pPr>
      <w:r>
        <w:t xml:space="preserve">Asset Management Reserve – </w:t>
      </w:r>
      <w:r>
        <w:t>Revenue Contribution to reserve</w:t>
      </w:r>
      <w:r>
        <w:tab/>
      </w:r>
      <w:r>
        <w:tab/>
      </w:r>
      <w:r w:rsidR="00435732">
        <w:t xml:space="preserve">           +</w:t>
      </w:r>
      <w:r>
        <w:t>£0.5m</w:t>
      </w:r>
    </w:p>
    <w:p w14:paraId="0F844228" w14:textId="13C2F687" w:rsidR="004F2CC9" w:rsidRDefault="00435732" w:rsidP="00D4274D">
      <w:pPr>
        <w:ind w:left="720"/>
      </w:pPr>
      <w:r>
        <w:t xml:space="preserve">Business Rates Retention – add. </w:t>
      </w:r>
      <w:r w:rsidR="002D6018">
        <w:t xml:space="preserve">S31 </w:t>
      </w:r>
      <w:r>
        <w:t xml:space="preserve">Grant and forecast growth </w:t>
      </w:r>
      <w:r>
        <w:tab/>
      </w:r>
      <w:r>
        <w:tab/>
      </w:r>
      <w:r>
        <w:tab/>
        <w:t>+£0.4m</w:t>
      </w:r>
    </w:p>
    <w:p w14:paraId="09447685" w14:textId="6C10F1E8" w:rsidR="00435732" w:rsidRDefault="00435732" w:rsidP="00D4274D">
      <w:pPr>
        <w:ind w:left="720"/>
      </w:pPr>
      <w:r>
        <w:t>ICT strategy – Capital Programme</w:t>
      </w:r>
      <w:r>
        <w:tab/>
      </w:r>
      <w:r>
        <w:tab/>
      </w:r>
      <w:r>
        <w:tab/>
      </w:r>
      <w:r>
        <w:tab/>
      </w:r>
      <w:r>
        <w:tab/>
      </w:r>
      <w:r>
        <w:tab/>
      </w:r>
      <w:r>
        <w:tab/>
        <w:t>-£0.4m</w:t>
      </w:r>
    </w:p>
    <w:p w14:paraId="355CB3A8" w14:textId="77777777" w:rsidR="00D4274D" w:rsidRDefault="00D4274D" w:rsidP="00D4274D">
      <w:pPr>
        <w:ind w:left="720"/>
        <w:rPr>
          <w:u w:val="single"/>
        </w:rPr>
      </w:pPr>
      <w:r>
        <w:t xml:space="preserve">Other reserve – release of carry forward  </w:t>
      </w:r>
      <w:r>
        <w:tab/>
      </w:r>
      <w:r>
        <w:tab/>
      </w:r>
      <w:r>
        <w:tab/>
      </w:r>
      <w:r>
        <w:tab/>
      </w:r>
      <w:r>
        <w:tab/>
      </w:r>
      <w:r>
        <w:tab/>
      </w:r>
      <w:r w:rsidRPr="00D4274D">
        <w:rPr>
          <w:u w:val="single"/>
        </w:rPr>
        <w:t>-£0.4m</w:t>
      </w:r>
    </w:p>
    <w:p w14:paraId="7FB04216" w14:textId="1DA6D476" w:rsidR="004F2CC9" w:rsidRPr="002D6018" w:rsidRDefault="00D4274D" w:rsidP="00D4274D">
      <w:pPr>
        <w:ind w:left="720"/>
        <w:rPr>
          <w:b/>
        </w:rPr>
      </w:pPr>
      <w:r w:rsidRPr="002D6018">
        <w:rPr>
          <w:b/>
        </w:rPr>
        <w:t>Total</w:t>
      </w:r>
      <w:r w:rsidRPr="002D6018">
        <w:rPr>
          <w:b/>
        </w:rPr>
        <w:tab/>
      </w:r>
      <w:r w:rsidRPr="002D6018">
        <w:rPr>
          <w:b/>
        </w:rPr>
        <w:tab/>
      </w:r>
      <w:r w:rsidRPr="002D6018">
        <w:rPr>
          <w:b/>
        </w:rPr>
        <w:tab/>
      </w:r>
      <w:r w:rsidRPr="002D6018">
        <w:rPr>
          <w:b/>
        </w:rPr>
        <w:tab/>
      </w:r>
      <w:r w:rsidRPr="002D6018">
        <w:rPr>
          <w:b/>
        </w:rPr>
        <w:tab/>
      </w:r>
      <w:r w:rsidRPr="002D6018">
        <w:rPr>
          <w:b/>
        </w:rPr>
        <w:tab/>
      </w:r>
      <w:r w:rsidRPr="002D6018">
        <w:rPr>
          <w:b/>
        </w:rPr>
        <w:tab/>
      </w:r>
      <w:r w:rsidRPr="002D6018">
        <w:rPr>
          <w:b/>
        </w:rPr>
        <w:tab/>
      </w:r>
      <w:r w:rsidRPr="002D6018">
        <w:rPr>
          <w:b/>
        </w:rPr>
        <w:tab/>
      </w:r>
      <w:r w:rsidRPr="002D6018">
        <w:rPr>
          <w:b/>
        </w:rPr>
        <w:tab/>
      </w:r>
      <w:r w:rsidRPr="002D6018">
        <w:rPr>
          <w:b/>
        </w:rPr>
        <w:tab/>
      </w:r>
      <w:r w:rsidRPr="002D6018">
        <w:rPr>
          <w:b/>
          <w:u w:val="single"/>
        </w:rPr>
        <w:t>-£5.3m</w:t>
      </w:r>
    </w:p>
    <w:p w14:paraId="088ADA97" w14:textId="77777777" w:rsidR="00301443" w:rsidRPr="00E570E5" w:rsidRDefault="00301443" w:rsidP="00D4274D">
      <w:pPr>
        <w:ind w:left="720"/>
      </w:pPr>
    </w:p>
    <w:p w14:paraId="716C8212" w14:textId="1A8E6823" w:rsidR="00391A62" w:rsidRDefault="0025229C" w:rsidP="00391A62">
      <w:r>
        <w:t>As previously reported u</w:t>
      </w:r>
      <w:r w:rsidRPr="0025229C">
        <w:t>nderspends during the year in respect of both capital and reve</w:t>
      </w:r>
      <w:r w:rsidR="0087055A" w:rsidRPr="0025229C">
        <w:t xml:space="preserve">nue </w:t>
      </w:r>
      <w:r w:rsidRPr="0025229C">
        <w:t xml:space="preserve">net </w:t>
      </w:r>
      <w:bookmarkStart w:id="0" w:name="_GoBack"/>
      <w:bookmarkEnd w:id="0"/>
      <w:r w:rsidRPr="0025229C">
        <w:t xml:space="preserve">expenditure </w:t>
      </w:r>
      <w:r w:rsidR="0087055A" w:rsidRPr="0025229C">
        <w:t>will ca</w:t>
      </w:r>
      <w:r w:rsidRPr="0025229C">
        <w:t>use variations to the balances shown below.</w:t>
      </w:r>
    </w:p>
    <w:p w14:paraId="6AC6D549" w14:textId="77777777" w:rsidR="00391A62" w:rsidRDefault="00391A62" w:rsidP="00391A62"/>
    <w:p w14:paraId="64BF1A84" w14:textId="77777777" w:rsidR="00391A62" w:rsidRDefault="00391A62" w:rsidP="00391A62">
      <w:pPr>
        <w:sectPr w:rsidR="00391A62" w:rsidSect="00054C43">
          <w:footerReference w:type="default" r:id="rId9"/>
          <w:pgSz w:w="11906" w:h="16838" w:code="9"/>
          <w:pgMar w:top="851" w:right="1134" w:bottom="709" w:left="1134" w:header="567" w:footer="567" w:gutter="0"/>
          <w:cols w:space="708"/>
          <w:docGrid w:linePitch="360"/>
        </w:sectPr>
      </w:pPr>
    </w:p>
    <w:tbl>
      <w:tblPr>
        <w:tblW w:w="9551" w:type="dxa"/>
        <w:jc w:val="center"/>
        <w:tblBorders>
          <w:top w:val="single" w:sz="4" w:space="0" w:color="auto"/>
          <w:bottom w:val="double" w:sz="4" w:space="0" w:color="auto"/>
          <w:insideH w:val="single" w:sz="4" w:space="0" w:color="auto"/>
        </w:tblBorders>
        <w:tblLayout w:type="fixed"/>
        <w:tblLook w:val="0000" w:firstRow="0" w:lastRow="0" w:firstColumn="0" w:lastColumn="0" w:noHBand="0" w:noVBand="0"/>
      </w:tblPr>
      <w:tblGrid>
        <w:gridCol w:w="3739"/>
        <w:gridCol w:w="1417"/>
        <w:gridCol w:w="1418"/>
        <w:gridCol w:w="1543"/>
        <w:gridCol w:w="1434"/>
      </w:tblGrid>
      <w:tr w:rsidR="009712AD" w:rsidRPr="00684326" w14:paraId="165E0254" w14:textId="77777777" w:rsidTr="00212006">
        <w:trPr>
          <w:trHeight w:val="397"/>
          <w:jc w:val="center"/>
        </w:trPr>
        <w:tc>
          <w:tcPr>
            <w:tcW w:w="3739" w:type="dxa"/>
            <w:shd w:val="clear" w:color="auto" w:fill="B4C6E7" w:themeFill="accent5" w:themeFillTint="66"/>
            <w:vAlign w:val="center"/>
          </w:tcPr>
          <w:p w14:paraId="07EB09F6"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lastRenderedPageBreak/>
              <w:t>Revenue Reserves</w:t>
            </w:r>
          </w:p>
        </w:tc>
        <w:tc>
          <w:tcPr>
            <w:tcW w:w="1417" w:type="dxa"/>
            <w:shd w:val="clear" w:color="auto" w:fill="B4C6E7" w:themeFill="accent5" w:themeFillTint="66"/>
            <w:vAlign w:val="center"/>
          </w:tcPr>
          <w:p w14:paraId="5EE9D445"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Actual Balance</w:t>
            </w:r>
          </w:p>
          <w:p w14:paraId="4B8133DB"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31 March 2017</w:t>
            </w:r>
          </w:p>
          <w:p w14:paraId="36AF3BC4"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£’000</w:t>
            </w:r>
          </w:p>
        </w:tc>
        <w:tc>
          <w:tcPr>
            <w:tcW w:w="1418" w:type="dxa"/>
            <w:shd w:val="clear" w:color="auto" w:fill="B4C6E7" w:themeFill="accent5" w:themeFillTint="66"/>
            <w:vAlign w:val="center"/>
          </w:tcPr>
          <w:p w14:paraId="7B94948F"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Projected Balance</w:t>
            </w:r>
          </w:p>
          <w:p w14:paraId="0E14214C"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31 March 2018</w:t>
            </w:r>
          </w:p>
          <w:p w14:paraId="354E1117"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£’000</w:t>
            </w:r>
          </w:p>
        </w:tc>
        <w:tc>
          <w:tcPr>
            <w:tcW w:w="1543" w:type="dxa"/>
            <w:shd w:val="clear" w:color="auto" w:fill="B4C6E7" w:themeFill="accent5" w:themeFillTint="66"/>
            <w:vAlign w:val="center"/>
          </w:tcPr>
          <w:p w14:paraId="0EF266D7"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Projected Balance</w:t>
            </w:r>
          </w:p>
          <w:p w14:paraId="04600486"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31 March 2019</w:t>
            </w:r>
          </w:p>
          <w:p w14:paraId="729A47EB"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£’000</w:t>
            </w:r>
          </w:p>
        </w:tc>
        <w:tc>
          <w:tcPr>
            <w:tcW w:w="1434" w:type="dxa"/>
            <w:shd w:val="clear" w:color="auto" w:fill="B4C6E7" w:themeFill="accent5" w:themeFillTint="66"/>
            <w:vAlign w:val="center"/>
          </w:tcPr>
          <w:p w14:paraId="23C5E7E7"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Projected Balance</w:t>
            </w:r>
          </w:p>
          <w:p w14:paraId="7A5E4130"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31 March 2020</w:t>
            </w:r>
          </w:p>
          <w:p w14:paraId="0CF7B817" w14:textId="77777777" w:rsidR="009712AD" w:rsidRPr="00212006" w:rsidRDefault="009712AD" w:rsidP="0083323B">
            <w:pPr>
              <w:pStyle w:val="BodyText"/>
              <w:tabs>
                <w:tab w:val="left" w:pos="549"/>
                <w:tab w:val="left" w:pos="916"/>
                <w:tab w:val="left" w:pos="1268"/>
                <w:tab w:val="right" w:pos="7388"/>
                <w:tab w:val="right" w:pos="8828"/>
              </w:tabs>
              <w:jc w:val="center"/>
              <w:rPr>
                <w:rFonts w:ascii="Arial" w:hAnsi="Arial"/>
                <w:b/>
                <w:sz w:val="22"/>
              </w:rPr>
            </w:pPr>
            <w:r w:rsidRPr="00212006">
              <w:rPr>
                <w:rFonts w:ascii="Arial" w:hAnsi="Arial"/>
                <w:b/>
                <w:sz w:val="22"/>
              </w:rPr>
              <w:t>£’000</w:t>
            </w:r>
          </w:p>
        </w:tc>
      </w:tr>
      <w:tr w:rsidR="009712AD" w:rsidRPr="003919CF" w14:paraId="2DC3EB51" w14:textId="77777777" w:rsidTr="00212006">
        <w:trPr>
          <w:trHeight w:val="397"/>
          <w:jc w:val="center"/>
        </w:trPr>
        <w:tc>
          <w:tcPr>
            <w:tcW w:w="3739" w:type="dxa"/>
            <w:shd w:val="clear" w:color="auto" w:fill="B4C6E7" w:themeFill="accent5" w:themeFillTint="66"/>
            <w:vAlign w:val="center"/>
          </w:tcPr>
          <w:p w14:paraId="2F8C1E4B" w14:textId="77777777" w:rsidR="009712AD" w:rsidRPr="00212006" w:rsidRDefault="009712AD" w:rsidP="0083323B">
            <w:pPr>
              <w:pStyle w:val="BodyText"/>
              <w:tabs>
                <w:tab w:val="left" w:pos="549"/>
                <w:tab w:val="left" w:pos="916"/>
                <w:tab w:val="left" w:pos="1268"/>
                <w:tab w:val="right" w:pos="7388"/>
                <w:tab w:val="right" w:pos="8828"/>
              </w:tabs>
              <w:rPr>
                <w:rFonts w:ascii="Arial" w:hAnsi="Arial" w:cs="Arial"/>
                <w:b/>
                <w:sz w:val="22"/>
                <w:szCs w:val="22"/>
              </w:rPr>
            </w:pPr>
          </w:p>
        </w:tc>
        <w:tc>
          <w:tcPr>
            <w:tcW w:w="1417" w:type="dxa"/>
            <w:shd w:val="clear" w:color="auto" w:fill="B4C6E7" w:themeFill="accent5" w:themeFillTint="66"/>
            <w:vAlign w:val="center"/>
          </w:tcPr>
          <w:p w14:paraId="2D72EB8E"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p>
        </w:tc>
        <w:tc>
          <w:tcPr>
            <w:tcW w:w="1418" w:type="dxa"/>
            <w:shd w:val="clear" w:color="auto" w:fill="B4C6E7" w:themeFill="accent5" w:themeFillTint="66"/>
            <w:vAlign w:val="center"/>
          </w:tcPr>
          <w:p w14:paraId="2CC364EE"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p>
        </w:tc>
        <w:tc>
          <w:tcPr>
            <w:tcW w:w="1543" w:type="dxa"/>
            <w:shd w:val="clear" w:color="auto" w:fill="B4C6E7" w:themeFill="accent5" w:themeFillTint="66"/>
            <w:vAlign w:val="center"/>
          </w:tcPr>
          <w:p w14:paraId="5F03B6BB"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p>
        </w:tc>
        <w:tc>
          <w:tcPr>
            <w:tcW w:w="1434" w:type="dxa"/>
            <w:shd w:val="clear" w:color="auto" w:fill="B4C6E7" w:themeFill="accent5" w:themeFillTint="66"/>
            <w:vAlign w:val="center"/>
          </w:tcPr>
          <w:p w14:paraId="2C860D96"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p>
        </w:tc>
      </w:tr>
      <w:tr w:rsidR="009712AD" w:rsidRPr="00684326" w14:paraId="5A673689" w14:textId="77777777" w:rsidTr="00212006">
        <w:trPr>
          <w:trHeight w:val="397"/>
          <w:jc w:val="center"/>
        </w:trPr>
        <w:tc>
          <w:tcPr>
            <w:tcW w:w="3739" w:type="dxa"/>
            <w:shd w:val="clear" w:color="auto" w:fill="B4C6E7" w:themeFill="accent5" w:themeFillTint="66"/>
            <w:vAlign w:val="center"/>
          </w:tcPr>
          <w:p w14:paraId="50274244" w14:textId="77777777" w:rsidR="009712AD" w:rsidRPr="00212006" w:rsidRDefault="009712AD" w:rsidP="0083323B">
            <w:pPr>
              <w:pStyle w:val="BodyText"/>
              <w:tabs>
                <w:tab w:val="left" w:pos="549"/>
                <w:tab w:val="left" w:pos="916"/>
                <w:tab w:val="left" w:pos="1268"/>
                <w:tab w:val="right" w:pos="7388"/>
                <w:tab w:val="right" w:pos="8828"/>
              </w:tabs>
              <w:rPr>
                <w:rFonts w:ascii="Arial" w:hAnsi="Arial" w:cs="Arial"/>
                <w:b/>
                <w:sz w:val="22"/>
                <w:szCs w:val="22"/>
              </w:rPr>
            </w:pPr>
          </w:p>
          <w:p w14:paraId="0D25FB41" w14:textId="77777777" w:rsidR="009712AD" w:rsidRPr="00212006" w:rsidRDefault="009712AD" w:rsidP="0083323B">
            <w:pPr>
              <w:pStyle w:val="BodyText"/>
              <w:tabs>
                <w:tab w:val="left" w:pos="549"/>
                <w:tab w:val="left" w:pos="916"/>
                <w:tab w:val="left" w:pos="1268"/>
                <w:tab w:val="right" w:pos="7388"/>
                <w:tab w:val="right" w:pos="8828"/>
              </w:tabs>
              <w:rPr>
                <w:rFonts w:ascii="Arial" w:hAnsi="Arial" w:cs="Arial"/>
                <w:b/>
                <w:sz w:val="22"/>
                <w:szCs w:val="22"/>
              </w:rPr>
            </w:pPr>
            <w:r w:rsidRPr="00212006">
              <w:rPr>
                <w:rFonts w:ascii="Arial" w:hAnsi="Arial" w:cs="Arial"/>
                <w:b/>
                <w:sz w:val="22"/>
                <w:szCs w:val="22"/>
              </w:rPr>
              <w:t>Total General Fund Reserves</w:t>
            </w:r>
          </w:p>
          <w:p w14:paraId="0524AA35" w14:textId="77777777" w:rsidR="009712AD" w:rsidRPr="00212006" w:rsidRDefault="009712AD" w:rsidP="0083323B">
            <w:pPr>
              <w:pStyle w:val="BodyText"/>
              <w:tabs>
                <w:tab w:val="left" w:pos="549"/>
                <w:tab w:val="left" w:pos="916"/>
                <w:tab w:val="left" w:pos="1268"/>
                <w:tab w:val="right" w:pos="7388"/>
                <w:tab w:val="right" w:pos="8828"/>
              </w:tabs>
              <w:rPr>
                <w:rFonts w:ascii="Arial" w:hAnsi="Arial" w:cs="Arial"/>
                <w:b/>
                <w:sz w:val="22"/>
                <w:szCs w:val="22"/>
              </w:rPr>
            </w:pPr>
          </w:p>
        </w:tc>
        <w:tc>
          <w:tcPr>
            <w:tcW w:w="1417" w:type="dxa"/>
            <w:shd w:val="clear" w:color="auto" w:fill="B4C6E7" w:themeFill="accent5" w:themeFillTint="66"/>
            <w:vAlign w:val="center"/>
          </w:tcPr>
          <w:p w14:paraId="6AA27291"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212006">
              <w:rPr>
                <w:rFonts w:ascii="Arial" w:hAnsi="Arial" w:cs="Arial"/>
                <w:b/>
                <w:sz w:val="22"/>
                <w:szCs w:val="22"/>
              </w:rPr>
              <w:t>4,597</w:t>
            </w:r>
          </w:p>
        </w:tc>
        <w:tc>
          <w:tcPr>
            <w:tcW w:w="1418" w:type="dxa"/>
            <w:shd w:val="clear" w:color="auto" w:fill="B4C6E7" w:themeFill="accent5" w:themeFillTint="66"/>
            <w:vAlign w:val="center"/>
          </w:tcPr>
          <w:p w14:paraId="7512112B"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212006">
              <w:rPr>
                <w:rFonts w:ascii="Arial" w:hAnsi="Arial" w:cs="Arial"/>
                <w:b/>
                <w:sz w:val="22"/>
                <w:szCs w:val="22"/>
              </w:rPr>
              <w:t>4,297</w:t>
            </w:r>
          </w:p>
        </w:tc>
        <w:tc>
          <w:tcPr>
            <w:tcW w:w="1543" w:type="dxa"/>
            <w:shd w:val="clear" w:color="auto" w:fill="B4C6E7" w:themeFill="accent5" w:themeFillTint="66"/>
            <w:vAlign w:val="center"/>
          </w:tcPr>
          <w:p w14:paraId="51299F6C"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212006">
              <w:rPr>
                <w:rFonts w:ascii="Arial" w:hAnsi="Arial" w:cs="Arial"/>
                <w:b/>
                <w:sz w:val="22"/>
                <w:szCs w:val="22"/>
              </w:rPr>
              <w:t>4,036</w:t>
            </w:r>
          </w:p>
        </w:tc>
        <w:tc>
          <w:tcPr>
            <w:tcW w:w="1434" w:type="dxa"/>
            <w:shd w:val="clear" w:color="auto" w:fill="B4C6E7" w:themeFill="accent5" w:themeFillTint="66"/>
            <w:vAlign w:val="center"/>
          </w:tcPr>
          <w:p w14:paraId="44D5D55D" w14:textId="77777777" w:rsidR="009712AD" w:rsidRPr="00212006"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212006">
              <w:rPr>
                <w:rFonts w:ascii="Arial" w:hAnsi="Arial" w:cs="Arial"/>
                <w:b/>
                <w:sz w:val="22"/>
                <w:szCs w:val="22"/>
              </w:rPr>
              <w:t>4,436</w:t>
            </w:r>
          </w:p>
        </w:tc>
      </w:tr>
      <w:tr w:rsidR="009712AD" w:rsidRPr="003919CF" w14:paraId="698B8A6D" w14:textId="77777777" w:rsidTr="0083323B">
        <w:trPr>
          <w:trHeight w:val="397"/>
          <w:jc w:val="center"/>
        </w:trPr>
        <w:tc>
          <w:tcPr>
            <w:tcW w:w="3739" w:type="dxa"/>
            <w:vAlign w:val="center"/>
          </w:tcPr>
          <w:p w14:paraId="44A4193C"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r w:rsidRPr="003919CF">
              <w:rPr>
                <w:rFonts w:ascii="Arial" w:hAnsi="Arial" w:cs="Arial"/>
                <w:b/>
                <w:sz w:val="22"/>
                <w:szCs w:val="22"/>
              </w:rPr>
              <w:t>Earmarked Reserves:</w:t>
            </w:r>
          </w:p>
        </w:tc>
        <w:tc>
          <w:tcPr>
            <w:tcW w:w="1417" w:type="dxa"/>
            <w:vAlign w:val="center"/>
          </w:tcPr>
          <w:p w14:paraId="6668E91D"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418" w:type="dxa"/>
            <w:vAlign w:val="center"/>
          </w:tcPr>
          <w:p w14:paraId="61C3E0F7"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543" w:type="dxa"/>
            <w:vAlign w:val="center"/>
          </w:tcPr>
          <w:p w14:paraId="329A3EFF"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434" w:type="dxa"/>
            <w:vAlign w:val="center"/>
          </w:tcPr>
          <w:p w14:paraId="626F7940"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r>
      <w:tr w:rsidR="009712AD" w:rsidRPr="003919CF" w14:paraId="49A5BB67" w14:textId="77777777" w:rsidTr="0083323B">
        <w:trPr>
          <w:trHeight w:val="397"/>
          <w:jc w:val="center"/>
        </w:trPr>
        <w:tc>
          <w:tcPr>
            <w:tcW w:w="3739" w:type="dxa"/>
            <w:vAlign w:val="center"/>
          </w:tcPr>
          <w:p w14:paraId="294A734E"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 xml:space="preserve">Asset Management  </w:t>
            </w:r>
          </w:p>
        </w:tc>
        <w:tc>
          <w:tcPr>
            <w:tcW w:w="1417" w:type="dxa"/>
            <w:vAlign w:val="center"/>
          </w:tcPr>
          <w:p w14:paraId="28364CE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1,494</w:t>
            </w:r>
          </w:p>
        </w:tc>
        <w:tc>
          <w:tcPr>
            <w:tcW w:w="1418" w:type="dxa"/>
            <w:vAlign w:val="center"/>
          </w:tcPr>
          <w:p w14:paraId="4631246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689</w:t>
            </w:r>
          </w:p>
        </w:tc>
        <w:tc>
          <w:tcPr>
            <w:tcW w:w="1543" w:type="dxa"/>
            <w:vAlign w:val="center"/>
          </w:tcPr>
          <w:p w14:paraId="664DEE7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19</w:t>
            </w:r>
          </w:p>
        </w:tc>
        <w:tc>
          <w:tcPr>
            <w:tcW w:w="1434" w:type="dxa"/>
            <w:vAlign w:val="center"/>
          </w:tcPr>
          <w:p w14:paraId="56C11DE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219</w:t>
            </w:r>
          </w:p>
        </w:tc>
      </w:tr>
      <w:tr w:rsidR="009712AD" w:rsidRPr="003919CF" w14:paraId="0D473BB0" w14:textId="77777777" w:rsidTr="0083323B">
        <w:trPr>
          <w:trHeight w:val="397"/>
          <w:jc w:val="center"/>
        </w:trPr>
        <w:tc>
          <w:tcPr>
            <w:tcW w:w="3739" w:type="dxa"/>
            <w:vAlign w:val="center"/>
          </w:tcPr>
          <w:p w14:paraId="761341FF"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Borough Council Elections</w:t>
            </w:r>
          </w:p>
        </w:tc>
        <w:tc>
          <w:tcPr>
            <w:tcW w:w="1417" w:type="dxa"/>
            <w:vAlign w:val="center"/>
          </w:tcPr>
          <w:p w14:paraId="5BD7BCD6"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82</w:t>
            </w:r>
          </w:p>
        </w:tc>
        <w:tc>
          <w:tcPr>
            <w:tcW w:w="1418" w:type="dxa"/>
            <w:vAlign w:val="center"/>
          </w:tcPr>
          <w:p w14:paraId="7E74387A"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112</w:t>
            </w:r>
          </w:p>
        </w:tc>
        <w:tc>
          <w:tcPr>
            <w:tcW w:w="1543" w:type="dxa"/>
            <w:vAlign w:val="center"/>
          </w:tcPr>
          <w:p w14:paraId="4BA79F4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142</w:t>
            </w:r>
          </w:p>
        </w:tc>
        <w:tc>
          <w:tcPr>
            <w:tcW w:w="1434" w:type="dxa"/>
            <w:vAlign w:val="center"/>
          </w:tcPr>
          <w:p w14:paraId="789528B2"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52</w:t>
            </w:r>
          </w:p>
        </w:tc>
      </w:tr>
      <w:tr w:rsidR="009712AD" w:rsidRPr="003919CF" w14:paraId="6B53AF10" w14:textId="77777777" w:rsidTr="0083323B">
        <w:trPr>
          <w:trHeight w:val="397"/>
          <w:jc w:val="center"/>
        </w:trPr>
        <w:tc>
          <w:tcPr>
            <w:tcW w:w="3739" w:type="dxa"/>
            <w:vAlign w:val="center"/>
          </w:tcPr>
          <w:p w14:paraId="00C98EB5"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Borough Investment Account</w:t>
            </w:r>
          </w:p>
        </w:tc>
        <w:tc>
          <w:tcPr>
            <w:tcW w:w="1417" w:type="dxa"/>
            <w:vAlign w:val="center"/>
          </w:tcPr>
          <w:p w14:paraId="4F7458F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3,824</w:t>
            </w:r>
          </w:p>
        </w:tc>
        <w:tc>
          <w:tcPr>
            <w:tcW w:w="1418" w:type="dxa"/>
            <w:vAlign w:val="center"/>
          </w:tcPr>
          <w:p w14:paraId="3D860A2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0</w:t>
            </w:r>
          </w:p>
        </w:tc>
        <w:tc>
          <w:tcPr>
            <w:tcW w:w="1543" w:type="dxa"/>
            <w:vAlign w:val="center"/>
          </w:tcPr>
          <w:p w14:paraId="5A410463"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0</w:t>
            </w:r>
          </w:p>
        </w:tc>
        <w:tc>
          <w:tcPr>
            <w:tcW w:w="1434" w:type="dxa"/>
            <w:vAlign w:val="center"/>
          </w:tcPr>
          <w:p w14:paraId="0B5231F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0</w:t>
            </w:r>
          </w:p>
        </w:tc>
      </w:tr>
      <w:tr w:rsidR="009712AD" w:rsidRPr="003919CF" w14:paraId="7D8E16E4" w14:textId="77777777" w:rsidTr="0083323B">
        <w:trPr>
          <w:trHeight w:val="397"/>
          <w:jc w:val="center"/>
        </w:trPr>
        <w:tc>
          <w:tcPr>
            <w:tcW w:w="3739" w:type="dxa"/>
            <w:vAlign w:val="center"/>
          </w:tcPr>
          <w:p w14:paraId="046FECF5"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Pr>
                <w:rFonts w:ascii="Arial" w:hAnsi="Arial" w:cs="Arial"/>
                <w:sz w:val="22"/>
                <w:szCs w:val="22"/>
              </w:rPr>
              <w:t>Building Control</w:t>
            </w:r>
          </w:p>
        </w:tc>
        <w:tc>
          <w:tcPr>
            <w:tcW w:w="1417" w:type="dxa"/>
            <w:vAlign w:val="center"/>
          </w:tcPr>
          <w:p w14:paraId="54E2151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w:t>
            </w:r>
          </w:p>
        </w:tc>
        <w:tc>
          <w:tcPr>
            <w:tcW w:w="1418" w:type="dxa"/>
            <w:vAlign w:val="center"/>
          </w:tcPr>
          <w:p w14:paraId="00502C5D" w14:textId="77777777" w:rsidR="009712AD"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w:t>
            </w:r>
          </w:p>
        </w:tc>
        <w:tc>
          <w:tcPr>
            <w:tcW w:w="1543" w:type="dxa"/>
            <w:vAlign w:val="center"/>
          </w:tcPr>
          <w:p w14:paraId="1EC29BD1" w14:textId="77777777" w:rsidR="009712AD"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w:t>
            </w:r>
          </w:p>
        </w:tc>
        <w:tc>
          <w:tcPr>
            <w:tcW w:w="1434" w:type="dxa"/>
            <w:vAlign w:val="center"/>
          </w:tcPr>
          <w:p w14:paraId="2AE064F7" w14:textId="77777777" w:rsidR="009712AD"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w:t>
            </w:r>
          </w:p>
        </w:tc>
      </w:tr>
      <w:tr w:rsidR="009712AD" w:rsidRPr="003919CF" w14:paraId="743FD71F" w14:textId="77777777" w:rsidTr="0083323B">
        <w:trPr>
          <w:trHeight w:val="397"/>
          <w:jc w:val="center"/>
        </w:trPr>
        <w:tc>
          <w:tcPr>
            <w:tcW w:w="3739" w:type="dxa"/>
            <w:vAlign w:val="center"/>
          </w:tcPr>
          <w:p w14:paraId="4F112DC0"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Business Rates Retention</w:t>
            </w:r>
          </w:p>
        </w:tc>
        <w:tc>
          <w:tcPr>
            <w:tcW w:w="1417" w:type="dxa"/>
            <w:vAlign w:val="center"/>
          </w:tcPr>
          <w:p w14:paraId="6115019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3,250</w:t>
            </w:r>
          </w:p>
        </w:tc>
        <w:tc>
          <w:tcPr>
            <w:tcW w:w="1418" w:type="dxa"/>
            <w:vAlign w:val="center"/>
          </w:tcPr>
          <w:p w14:paraId="7DEA7B01"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3,674</w:t>
            </w:r>
          </w:p>
        </w:tc>
        <w:tc>
          <w:tcPr>
            <w:tcW w:w="1543" w:type="dxa"/>
            <w:vAlign w:val="center"/>
          </w:tcPr>
          <w:p w14:paraId="277DD95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3,938</w:t>
            </w:r>
          </w:p>
        </w:tc>
        <w:tc>
          <w:tcPr>
            <w:tcW w:w="1434" w:type="dxa"/>
            <w:vAlign w:val="center"/>
          </w:tcPr>
          <w:p w14:paraId="2206A6F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4,015</w:t>
            </w:r>
          </w:p>
        </w:tc>
      </w:tr>
      <w:tr w:rsidR="009712AD" w:rsidRPr="003919CF" w14:paraId="52A1B2AB" w14:textId="77777777" w:rsidTr="0083323B">
        <w:trPr>
          <w:trHeight w:val="397"/>
          <w:jc w:val="center"/>
        </w:trPr>
        <w:tc>
          <w:tcPr>
            <w:tcW w:w="3739" w:type="dxa"/>
            <w:vAlign w:val="center"/>
          </w:tcPr>
          <w:p w14:paraId="502CC376"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Housing Needs Survey</w:t>
            </w:r>
          </w:p>
        </w:tc>
        <w:tc>
          <w:tcPr>
            <w:tcW w:w="1417" w:type="dxa"/>
            <w:vAlign w:val="center"/>
          </w:tcPr>
          <w:p w14:paraId="605361CD"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87</w:t>
            </w:r>
          </w:p>
        </w:tc>
        <w:tc>
          <w:tcPr>
            <w:tcW w:w="1418" w:type="dxa"/>
            <w:vAlign w:val="center"/>
          </w:tcPr>
          <w:p w14:paraId="79DBF0CD"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62</w:t>
            </w:r>
          </w:p>
        </w:tc>
        <w:tc>
          <w:tcPr>
            <w:tcW w:w="1543" w:type="dxa"/>
            <w:vAlign w:val="center"/>
          </w:tcPr>
          <w:p w14:paraId="05B1E7EE"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52</w:t>
            </w:r>
          </w:p>
        </w:tc>
        <w:tc>
          <w:tcPr>
            <w:tcW w:w="1434" w:type="dxa"/>
            <w:vAlign w:val="center"/>
          </w:tcPr>
          <w:p w14:paraId="151B47E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72</w:t>
            </w:r>
          </w:p>
        </w:tc>
      </w:tr>
      <w:tr w:rsidR="009712AD" w:rsidRPr="003919CF" w14:paraId="4DD3C43F" w14:textId="77777777" w:rsidTr="0083323B">
        <w:trPr>
          <w:trHeight w:val="365"/>
          <w:jc w:val="center"/>
        </w:trPr>
        <w:tc>
          <w:tcPr>
            <w:tcW w:w="3739" w:type="dxa"/>
            <w:vAlign w:val="center"/>
          </w:tcPr>
          <w:p w14:paraId="205036D8"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 xml:space="preserve">ICT Strategy </w:t>
            </w:r>
          </w:p>
        </w:tc>
        <w:tc>
          <w:tcPr>
            <w:tcW w:w="1417" w:type="dxa"/>
            <w:vAlign w:val="center"/>
          </w:tcPr>
          <w:p w14:paraId="4054C573"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988</w:t>
            </w:r>
          </w:p>
        </w:tc>
        <w:tc>
          <w:tcPr>
            <w:tcW w:w="1418" w:type="dxa"/>
            <w:vAlign w:val="center"/>
          </w:tcPr>
          <w:p w14:paraId="0F27A37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617</w:t>
            </w:r>
          </w:p>
        </w:tc>
        <w:tc>
          <w:tcPr>
            <w:tcW w:w="1543" w:type="dxa"/>
            <w:vAlign w:val="center"/>
          </w:tcPr>
          <w:p w14:paraId="7EB7128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510</w:t>
            </w:r>
          </w:p>
        </w:tc>
        <w:tc>
          <w:tcPr>
            <w:tcW w:w="1434" w:type="dxa"/>
            <w:vAlign w:val="center"/>
          </w:tcPr>
          <w:p w14:paraId="504DA58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400</w:t>
            </w:r>
          </w:p>
        </w:tc>
      </w:tr>
      <w:tr w:rsidR="009712AD" w:rsidRPr="003919CF" w14:paraId="05B7B404" w14:textId="77777777" w:rsidTr="0083323B">
        <w:trPr>
          <w:trHeight w:val="397"/>
          <w:jc w:val="center"/>
        </w:trPr>
        <w:tc>
          <w:tcPr>
            <w:tcW w:w="3739" w:type="dxa"/>
            <w:vAlign w:val="center"/>
          </w:tcPr>
          <w:p w14:paraId="501C7210" w14:textId="77777777" w:rsidR="009712AD" w:rsidRPr="003919CF" w:rsidRDefault="009712AD" w:rsidP="0083323B">
            <w:pPr>
              <w:pStyle w:val="BodyText"/>
              <w:tabs>
                <w:tab w:val="left" w:pos="549"/>
                <w:tab w:val="left" w:pos="916"/>
                <w:tab w:val="left" w:pos="1268"/>
                <w:tab w:val="right" w:pos="7388"/>
                <w:tab w:val="right" w:pos="8828"/>
              </w:tabs>
              <w:jc w:val="left"/>
              <w:rPr>
                <w:rFonts w:ascii="Arial" w:hAnsi="Arial" w:cs="Arial"/>
                <w:sz w:val="22"/>
                <w:szCs w:val="22"/>
              </w:rPr>
            </w:pPr>
            <w:r w:rsidRPr="003919CF">
              <w:rPr>
                <w:rFonts w:ascii="Arial" w:hAnsi="Arial" w:cs="Arial"/>
                <w:sz w:val="22"/>
                <w:szCs w:val="22"/>
              </w:rPr>
              <w:t>Leisure Sites Repair &amp; Maintenance</w:t>
            </w:r>
          </w:p>
        </w:tc>
        <w:tc>
          <w:tcPr>
            <w:tcW w:w="1417" w:type="dxa"/>
            <w:vAlign w:val="center"/>
          </w:tcPr>
          <w:p w14:paraId="6E50AD1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160</w:t>
            </w:r>
          </w:p>
        </w:tc>
        <w:tc>
          <w:tcPr>
            <w:tcW w:w="1418" w:type="dxa"/>
            <w:vAlign w:val="center"/>
          </w:tcPr>
          <w:p w14:paraId="280D776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160</w:t>
            </w:r>
          </w:p>
        </w:tc>
        <w:tc>
          <w:tcPr>
            <w:tcW w:w="1543" w:type="dxa"/>
            <w:vAlign w:val="center"/>
          </w:tcPr>
          <w:p w14:paraId="27AA12F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160</w:t>
            </w:r>
          </w:p>
        </w:tc>
        <w:tc>
          <w:tcPr>
            <w:tcW w:w="1434" w:type="dxa"/>
            <w:vAlign w:val="center"/>
          </w:tcPr>
          <w:p w14:paraId="42A66D3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160</w:t>
            </w:r>
          </w:p>
        </w:tc>
      </w:tr>
      <w:tr w:rsidR="009712AD" w:rsidRPr="003919CF" w14:paraId="5770B3E4" w14:textId="77777777" w:rsidTr="0083323B">
        <w:trPr>
          <w:trHeight w:val="397"/>
          <w:jc w:val="center"/>
        </w:trPr>
        <w:tc>
          <w:tcPr>
            <w:tcW w:w="3739" w:type="dxa"/>
            <w:vAlign w:val="center"/>
          </w:tcPr>
          <w:p w14:paraId="7381AE4E" w14:textId="77777777" w:rsidR="009712AD" w:rsidRPr="003919CF" w:rsidRDefault="009712AD" w:rsidP="0083323B">
            <w:pPr>
              <w:pStyle w:val="BodyText"/>
              <w:tabs>
                <w:tab w:val="left" w:pos="549"/>
                <w:tab w:val="left" w:pos="916"/>
                <w:tab w:val="left" w:pos="1268"/>
                <w:tab w:val="right" w:pos="7388"/>
                <w:tab w:val="right" w:pos="8828"/>
              </w:tabs>
              <w:jc w:val="left"/>
              <w:rPr>
                <w:rFonts w:ascii="Arial" w:hAnsi="Arial" w:cs="Arial"/>
                <w:sz w:val="22"/>
                <w:szCs w:val="22"/>
              </w:rPr>
            </w:pPr>
            <w:r w:rsidRPr="003919CF">
              <w:rPr>
                <w:rFonts w:ascii="Arial" w:hAnsi="Arial" w:cs="Arial"/>
                <w:sz w:val="22"/>
                <w:szCs w:val="22"/>
              </w:rPr>
              <w:t xml:space="preserve">Local Development Framework </w:t>
            </w:r>
          </w:p>
        </w:tc>
        <w:tc>
          <w:tcPr>
            <w:tcW w:w="1417" w:type="dxa"/>
            <w:vAlign w:val="center"/>
          </w:tcPr>
          <w:p w14:paraId="5108D0A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80</w:t>
            </w:r>
          </w:p>
        </w:tc>
        <w:tc>
          <w:tcPr>
            <w:tcW w:w="1418" w:type="dxa"/>
            <w:vAlign w:val="center"/>
          </w:tcPr>
          <w:p w14:paraId="5A39B3A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80</w:t>
            </w:r>
          </w:p>
        </w:tc>
        <w:tc>
          <w:tcPr>
            <w:tcW w:w="1543" w:type="dxa"/>
            <w:vAlign w:val="center"/>
          </w:tcPr>
          <w:p w14:paraId="72AD890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80</w:t>
            </w:r>
          </w:p>
        </w:tc>
        <w:tc>
          <w:tcPr>
            <w:tcW w:w="1434" w:type="dxa"/>
            <w:vAlign w:val="center"/>
          </w:tcPr>
          <w:p w14:paraId="066E7AFB"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80</w:t>
            </w:r>
          </w:p>
        </w:tc>
      </w:tr>
      <w:tr w:rsidR="009712AD" w:rsidRPr="003919CF" w14:paraId="7C70BE24" w14:textId="77777777" w:rsidTr="0083323B">
        <w:trPr>
          <w:trHeight w:val="535"/>
          <w:jc w:val="center"/>
        </w:trPr>
        <w:tc>
          <w:tcPr>
            <w:tcW w:w="3739" w:type="dxa"/>
            <w:vAlign w:val="center"/>
          </w:tcPr>
          <w:p w14:paraId="19B22153"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Performance Reward Grant</w:t>
            </w:r>
          </w:p>
        </w:tc>
        <w:tc>
          <w:tcPr>
            <w:tcW w:w="1417" w:type="dxa"/>
            <w:vAlign w:val="center"/>
          </w:tcPr>
          <w:p w14:paraId="61B52B6B"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68</w:t>
            </w:r>
          </w:p>
        </w:tc>
        <w:tc>
          <w:tcPr>
            <w:tcW w:w="1418" w:type="dxa"/>
            <w:vAlign w:val="center"/>
          </w:tcPr>
          <w:p w14:paraId="7E4F7F8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48</w:t>
            </w:r>
          </w:p>
        </w:tc>
        <w:tc>
          <w:tcPr>
            <w:tcW w:w="1543" w:type="dxa"/>
            <w:vAlign w:val="center"/>
          </w:tcPr>
          <w:p w14:paraId="4ADC988A"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42</w:t>
            </w:r>
          </w:p>
        </w:tc>
        <w:tc>
          <w:tcPr>
            <w:tcW w:w="1434" w:type="dxa"/>
            <w:vAlign w:val="center"/>
          </w:tcPr>
          <w:p w14:paraId="0BD4C40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42</w:t>
            </w:r>
          </w:p>
        </w:tc>
      </w:tr>
      <w:tr w:rsidR="009712AD" w:rsidRPr="003919CF" w14:paraId="3311150D" w14:textId="77777777" w:rsidTr="0083323B">
        <w:trPr>
          <w:trHeight w:val="397"/>
          <w:jc w:val="center"/>
        </w:trPr>
        <w:tc>
          <w:tcPr>
            <w:tcW w:w="3739" w:type="dxa"/>
            <w:vAlign w:val="center"/>
          </w:tcPr>
          <w:p w14:paraId="0C3B727A"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New Burdens Funding</w:t>
            </w:r>
          </w:p>
        </w:tc>
        <w:tc>
          <w:tcPr>
            <w:tcW w:w="1417" w:type="dxa"/>
            <w:vAlign w:val="center"/>
          </w:tcPr>
          <w:p w14:paraId="5FA36E7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222</w:t>
            </w:r>
          </w:p>
        </w:tc>
        <w:tc>
          <w:tcPr>
            <w:tcW w:w="1418" w:type="dxa"/>
            <w:vAlign w:val="center"/>
          </w:tcPr>
          <w:p w14:paraId="1BD285C8"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222</w:t>
            </w:r>
          </w:p>
        </w:tc>
        <w:tc>
          <w:tcPr>
            <w:tcW w:w="1543" w:type="dxa"/>
            <w:vAlign w:val="center"/>
          </w:tcPr>
          <w:p w14:paraId="7663115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147</w:t>
            </w:r>
          </w:p>
        </w:tc>
        <w:tc>
          <w:tcPr>
            <w:tcW w:w="1434" w:type="dxa"/>
            <w:vAlign w:val="center"/>
          </w:tcPr>
          <w:p w14:paraId="519DF01B"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147</w:t>
            </w:r>
          </w:p>
        </w:tc>
      </w:tr>
      <w:tr w:rsidR="009712AD" w:rsidRPr="003919CF" w14:paraId="38AD0439" w14:textId="77777777" w:rsidTr="0083323B">
        <w:trPr>
          <w:trHeight w:val="397"/>
          <w:jc w:val="center"/>
        </w:trPr>
        <w:tc>
          <w:tcPr>
            <w:tcW w:w="3739" w:type="dxa"/>
            <w:vAlign w:val="center"/>
          </w:tcPr>
          <w:p w14:paraId="31615403"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My Neighbourhoods</w:t>
            </w:r>
          </w:p>
        </w:tc>
        <w:tc>
          <w:tcPr>
            <w:tcW w:w="1417" w:type="dxa"/>
            <w:vAlign w:val="center"/>
          </w:tcPr>
          <w:p w14:paraId="7DE0CB1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45</w:t>
            </w:r>
          </w:p>
        </w:tc>
        <w:tc>
          <w:tcPr>
            <w:tcW w:w="1418" w:type="dxa"/>
            <w:vAlign w:val="center"/>
          </w:tcPr>
          <w:p w14:paraId="33DBD63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45</w:t>
            </w:r>
          </w:p>
        </w:tc>
        <w:tc>
          <w:tcPr>
            <w:tcW w:w="1543" w:type="dxa"/>
            <w:vAlign w:val="center"/>
          </w:tcPr>
          <w:p w14:paraId="13B60A46"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45</w:t>
            </w:r>
          </w:p>
        </w:tc>
        <w:tc>
          <w:tcPr>
            <w:tcW w:w="1434" w:type="dxa"/>
            <w:vAlign w:val="center"/>
          </w:tcPr>
          <w:p w14:paraId="49B4D06F"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45</w:t>
            </w:r>
          </w:p>
        </w:tc>
      </w:tr>
      <w:tr w:rsidR="009712AD" w:rsidRPr="003919CF" w14:paraId="21D5C7FA" w14:textId="77777777" w:rsidTr="0083323B">
        <w:trPr>
          <w:trHeight w:val="397"/>
          <w:jc w:val="center"/>
        </w:trPr>
        <w:tc>
          <w:tcPr>
            <w:tcW w:w="3739" w:type="dxa"/>
            <w:vAlign w:val="center"/>
          </w:tcPr>
          <w:p w14:paraId="6087C6A3"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 xml:space="preserve">Public Open Space funds </w:t>
            </w:r>
          </w:p>
        </w:tc>
        <w:tc>
          <w:tcPr>
            <w:tcW w:w="1417" w:type="dxa"/>
            <w:vAlign w:val="center"/>
          </w:tcPr>
          <w:p w14:paraId="53DC437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1,535</w:t>
            </w:r>
          </w:p>
        </w:tc>
        <w:tc>
          <w:tcPr>
            <w:tcW w:w="1418" w:type="dxa"/>
            <w:vAlign w:val="center"/>
          </w:tcPr>
          <w:p w14:paraId="441412ED"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1,476</w:t>
            </w:r>
          </w:p>
        </w:tc>
        <w:tc>
          <w:tcPr>
            <w:tcW w:w="1543" w:type="dxa"/>
            <w:vAlign w:val="center"/>
          </w:tcPr>
          <w:p w14:paraId="5126F5DF"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1,417</w:t>
            </w:r>
          </w:p>
        </w:tc>
        <w:tc>
          <w:tcPr>
            <w:tcW w:w="1434" w:type="dxa"/>
            <w:vAlign w:val="center"/>
          </w:tcPr>
          <w:p w14:paraId="5EB35BCE"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1,358</w:t>
            </w:r>
          </w:p>
        </w:tc>
      </w:tr>
      <w:tr w:rsidR="009712AD" w:rsidRPr="003919CF" w14:paraId="312418C2" w14:textId="77777777" w:rsidTr="0083323B">
        <w:trPr>
          <w:trHeight w:val="397"/>
          <w:jc w:val="center"/>
        </w:trPr>
        <w:tc>
          <w:tcPr>
            <w:tcW w:w="3739" w:type="dxa"/>
            <w:vAlign w:val="center"/>
          </w:tcPr>
          <w:p w14:paraId="21658901" w14:textId="77777777" w:rsidR="009712AD" w:rsidRPr="003919CF" w:rsidRDefault="009712AD" w:rsidP="0083323B">
            <w:pPr>
              <w:pStyle w:val="BodyText"/>
              <w:tabs>
                <w:tab w:val="left" w:pos="549"/>
                <w:tab w:val="left" w:pos="916"/>
                <w:tab w:val="left" w:pos="1268"/>
                <w:tab w:val="right" w:pos="7388"/>
                <w:tab w:val="right" w:pos="8828"/>
              </w:tabs>
              <w:jc w:val="left"/>
              <w:rPr>
                <w:rFonts w:ascii="Arial" w:hAnsi="Arial" w:cs="Arial"/>
                <w:sz w:val="22"/>
                <w:szCs w:val="22"/>
              </w:rPr>
            </w:pPr>
            <w:r w:rsidRPr="003919CF">
              <w:rPr>
                <w:rFonts w:ascii="Arial" w:hAnsi="Arial" w:cs="Arial"/>
                <w:sz w:val="22"/>
                <w:szCs w:val="22"/>
              </w:rPr>
              <w:t>Organisational Restructure costs</w:t>
            </w:r>
          </w:p>
        </w:tc>
        <w:tc>
          <w:tcPr>
            <w:tcW w:w="1417" w:type="dxa"/>
            <w:vAlign w:val="center"/>
          </w:tcPr>
          <w:p w14:paraId="4F45B44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385</w:t>
            </w:r>
          </w:p>
        </w:tc>
        <w:tc>
          <w:tcPr>
            <w:tcW w:w="1418" w:type="dxa"/>
            <w:vAlign w:val="center"/>
          </w:tcPr>
          <w:p w14:paraId="40218ACA"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385</w:t>
            </w:r>
          </w:p>
        </w:tc>
        <w:tc>
          <w:tcPr>
            <w:tcW w:w="1543" w:type="dxa"/>
            <w:vAlign w:val="center"/>
          </w:tcPr>
          <w:p w14:paraId="61D64B6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385</w:t>
            </w:r>
          </w:p>
        </w:tc>
        <w:tc>
          <w:tcPr>
            <w:tcW w:w="1434" w:type="dxa"/>
            <w:vAlign w:val="center"/>
          </w:tcPr>
          <w:p w14:paraId="7517E7CA"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385</w:t>
            </w:r>
          </w:p>
        </w:tc>
      </w:tr>
      <w:tr w:rsidR="009712AD" w:rsidRPr="003919CF" w14:paraId="0A68F86E" w14:textId="77777777" w:rsidTr="0083323B">
        <w:trPr>
          <w:trHeight w:val="397"/>
          <w:jc w:val="center"/>
        </w:trPr>
        <w:tc>
          <w:tcPr>
            <w:tcW w:w="3739" w:type="dxa"/>
            <w:vAlign w:val="center"/>
          </w:tcPr>
          <w:p w14:paraId="50D6A55D"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Vehicles &amp; Plant Replacement</w:t>
            </w:r>
          </w:p>
        </w:tc>
        <w:tc>
          <w:tcPr>
            <w:tcW w:w="1417" w:type="dxa"/>
            <w:vAlign w:val="center"/>
          </w:tcPr>
          <w:p w14:paraId="5592C749"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21</w:t>
            </w:r>
          </w:p>
        </w:tc>
        <w:tc>
          <w:tcPr>
            <w:tcW w:w="1418" w:type="dxa"/>
            <w:vAlign w:val="center"/>
          </w:tcPr>
          <w:p w14:paraId="7AF427F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21</w:t>
            </w:r>
          </w:p>
        </w:tc>
        <w:tc>
          <w:tcPr>
            <w:tcW w:w="1543" w:type="dxa"/>
            <w:vAlign w:val="center"/>
          </w:tcPr>
          <w:p w14:paraId="03AD1C06"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21</w:t>
            </w:r>
          </w:p>
        </w:tc>
        <w:tc>
          <w:tcPr>
            <w:tcW w:w="1434" w:type="dxa"/>
            <w:vAlign w:val="center"/>
          </w:tcPr>
          <w:p w14:paraId="2318D32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21</w:t>
            </w:r>
          </w:p>
        </w:tc>
      </w:tr>
      <w:tr w:rsidR="009712AD" w:rsidRPr="003919CF" w14:paraId="51433C63" w14:textId="77777777" w:rsidTr="0083323B">
        <w:trPr>
          <w:trHeight w:val="397"/>
          <w:jc w:val="center"/>
        </w:trPr>
        <w:tc>
          <w:tcPr>
            <w:tcW w:w="3739" w:type="dxa"/>
            <w:vAlign w:val="center"/>
          </w:tcPr>
          <w:p w14:paraId="780F3A19"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r w:rsidRPr="003919CF">
              <w:rPr>
                <w:rFonts w:ascii="Arial" w:hAnsi="Arial" w:cs="Arial"/>
                <w:sz w:val="22"/>
                <w:szCs w:val="22"/>
              </w:rPr>
              <w:t>Other Earmarked Reserves</w:t>
            </w:r>
          </w:p>
        </w:tc>
        <w:tc>
          <w:tcPr>
            <w:tcW w:w="1417" w:type="dxa"/>
            <w:vAlign w:val="center"/>
          </w:tcPr>
          <w:p w14:paraId="7B34BC60" w14:textId="77777777" w:rsidR="009712AD" w:rsidRPr="007F5309" w:rsidDel="00B37E91"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sidRPr="007F5309">
              <w:rPr>
                <w:rFonts w:ascii="Arial" w:hAnsi="Arial" w:cs="Arial"/>
                <w:sz w:val="22"/>
                <w:szCs w:val="22"/>
              </w:rPr>
              <w:t>1,733</w:t>
            </w:r>
          </w:p>
        </w:tc>
        <w:tc>
          <w:tcPr>
            <w:tcW w:w="1418" w:type="dxa"/>
            <w:vAlign w:val="center"/>
          </w:tcPr>
          <w:p w14:paraId="312BB346" w14:textId="77777777" w:rsidR="009712AD" w:rsidRPr="007F5309" w:rsidDel="00B37E91"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1,350</w:t>
            </w:r>
          </w:p>
        </w:tc>
        <w:tc>
          <w:tcPr>
            <w:tcW w:w="1543" w:type="dxa"/>
            <w:vAlign w:val="center"/>
          </w:tcPr>
          <w:p w14:paraId="74895CC4" w14:textId="77777777" w:rsidR="009712AD" w:rsidRPr="007F5309" w:rsidDel="00B37E91"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1,222</w:t>
            </w:r>
          </w:p>
        </w:tc>
        <w:tc>
          <w:tcPr>
            <w:tcW w:w="1434" w:type="dxa"/>
            <w:vAlign w:val="center"/>
          </w:tcPr>
          <w:p w14:paraId="54B8D153" w14:textId="77777777" w:rsidR="009712AD" w:rsidRPr="007F5309" w:rsidDel="00B37E91"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r>
              <w:rPr>
                <w:rFonts w:ascii="Arial" w:hAnsi="Arial" w:cs="Arial"/>
                <w:sz w:val="22"/>
                <w:szCs w:val="22"/>
              </w:rPr>
              <w:t>988</w:t>
            </w:r>
          </w:p>
        </w:tc>
      </w:tr>
      <w:tr w:rsidR="009712AD" w:rsidRPr="003919CF" w14:paraId="7A254B9B" w14:textId="77777777" w:rsidTr="0083323B">
        <w:trPr>
          <w:trHeight w:val="397"/>
          <w:jc w:val="center"/>
        </w:trPr>
        <w:tc>
          <w:tcPr>
            <w:tcW w:w="3739" w:type="dxa"/>
            <w:shd w:val="clear" w:color="auto" w:fill="D9D9D9"/>
            <w:vAlign w:val="center"/>
          </w:tcPr>
          <w:p w14:paraId="1B7076A3"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p>
          <w:p w14:paraId="4484086E"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r w:rsidRPr="003919CF">
              <w:rPr>
                <w:rFonts w:ascii="Arial" w:hAnsi="Arial" w:cs="Arial"/>
                <w:b/>
                <w:sz w:val="22"/>
                <w:szCs w:val="22"/>
              </w:rPr>
              <w:t>Total Earmarked Reserves</w:t>
            </w:r>
          </w:p>
          <w:p w14:paraId="18444D2A"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p>
        </w:tc>
        <w:tc>
          <w:tcPr>
            <w:tcW w:w="1417" w:type="dxa"/>
            <w:shd w:val="clear" w:color="auto" w:fill="D9D9D9"/>
            <w:vAlign w:val="center"/>
          </w:tcPr>
          <w:p w14:paraId="0F50F8A3"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7F5309">
              <w:rPr>
                <w:rFonts w:ascii="Arial" w:hAnsi="Arial" w:cs="Arial"/>
                <w:b/>
                <w:sz w:val="22"/>
                <w:szCs w:val="22"/>
              </w:rPr>
              <w:t>13,</w:t>
            </w:r>
            <w:r>
              <w:rPr>
                <w:rFonts w:ascii="Arial" w:hAnsi="Arial" w:cs="Arial"/>
                <w:b/>
                <w:sz w:val="22"/>
                <w:szCs w:val="22"/>
              </w:rPr>
              <w:t>996</w:t>
            </w:r>
          </w:p>
        </w:tc>
        <w:tc>
          <w:tcPr>
            <w:tcW w:w="1418" w:type="dxa"/>
            <w:shd w:val="clear" w:color="auto" w:fill="D9D9D9"/>
            <w:vAlign w:val="center"/>
          </w:tcPr>
          <w:p w14:paraId="305F376B"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8,963</w:t>
            </w:r>
          </w:p>
        </w:tc>
        <w:tc>
          <w:tcPr>
            <w:tcW w:w="1543" w:type="dxa"/>
            <w:shd w:val="clear" w:color="auto" w:fill="D9D9D9"/>
            <w:vAlign w:val="center"/>
          </w:tcPr>
          <w:p w14:paraId="4FDDD22C"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8,203</w:t>
            </w:r>
          </w:p>
        </w:tc>
        <w:tc>
          <w:tcPr>
            <w:tcW w:w="1434" w:type="dxa"/>
            <w:shd w:val="clear" w:color="auto" w:fill="D9D9D9"/>
            <w:vAlign w:val="center"/>
          </w:tcPr>
          <w:p w14:paraId="0BD4B4B5"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8,006</w:t>
            </w:r>
          </w:p>
        </w:tc>
      </w:tr>
      <w:tr w:rsidR="009712AD" w:rsidRPr="003919CF" w14:paraId="5F4A35C2" w14:textId="77777777" w:rsidTr="0083323B">
        <w:trPr>
          <w:trHeight w:val="397"/>
          <w:jc w:val="center"/>
        </w:trPr>
        <w:tc>
          <w:tcPr>
            <w:tcW w:w="3739" w:type="dxa"/>
            <w:vAlign w:val="center"/>
          </w:tcPr>
          <w:p w14:paraId="03D280EF"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sz w:val="22"/>
                <w:szCs w:val="22"/>
              </w:rPr>
            </w:pPr>
          </w:p>
        </w:tc>
        <w:tc>
          <w:tcPr>
            <w:tcW w:w="1417" w:type="dxa"/>
            <w:vAlign w:val="center"/>
          </w:tcPr>
          <w:p w14:paraId="3DA8FB9C" w14:textId="77777777" w:rsidR="009712AD" w:rsidRPr="00163E5D" w:rsidRDefault="009712AD" w:rsidP="0083323B">
            <w:pPr>
              <w:pStyle w:val="BodyText"/>
              <w:tabs>
                <w:tab w:val="left" w:pos="549"/>
                <w:tab w:val="left" w:pos="916"/>
                <w:tab w:val="left" w:pos="1268"/>
                <w:tab w:val="right" w:pos="7388"/>
                <w:tab w:val="right" w:pos="8828"/>
              </w:tabs>
              <w:jc w:val="right"/>
              <w:rPr>
                <w:rFonts w:ascii="Arial" w:hAnsi="Arial" w:cs="Arial"/>
                <w:sz w:val="22"/>
                <w:szCs w:val="22"/>
              </w:rPr>
            </w:pPr>
          </w:p>
        </w:tc>
        <w:tc>
          <w:tcPr>
            <w:tcW w:w="1418" w:type="dxa"/>
            <w:vAlign w:val="center"/>
          </w:tcPr>
          <w:p w14:paraId="16C95EA6"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543" w:type="dxa"/>
            <w:vAlign w:val="center"/>
          </w:tcPr>
          <w:p w14:paraId="4640CB04"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c>
          <w:tcPr>
            <w:tcW w:w="1434" w:type="dxa"/>
            <w:vAlign w:val="center"/>
          </w:tcPr>
          <w:p w14:paraId="3EB92195" w14:textId="77777777" w:rsidR="009712AD" w:rsidRPr="003919CF" w:rsidRDefault="009712AD" w:rsidP="0083323B">
            <w:pPr>
              <w:pStyle w:val="BodyText"/>
              <w:tabs>
                <w:tab w:val="left" w:pos="549"/>
                <w:tab w:val="left" w:pos="916"/>
                <w:tab w:val="left" w:pos="1268"/>
                <w:tab w:val="right" w:pos="7388"/>
                <w:tab w:val="right" w:pos="8828"/>
              </w:tabs>
              <w:jc w:val="right"/>
              <w:rPr>
                <w:rFonts w:ascii="Arial" w:hAnsi="Arial" w:cs="Arial"/>
                <w:color w:val="FF0000"/>
                <w:sz w:val="22"/>
                <w:szCs w:val="22"/>
              </w:rPr>
            </w:pPr>
          </w:p>
        </w:tc>
      </w:tr>
      <w:tr w:rsidR="009712AD" w:rsidRPr="003919CF" w14:paraId="1C6D2D3A" w14:textId="77777777" w:rsidTr="0083323B">
        <w:trPr>
          <w:trHeight w:val="397"/>
          <w:jc w:val="center"/>
        </w:trPr>
        <w:tc>
          <w:tcPr>
            <w:tcW w:w="3739" w:type="dxa"/>
            <w:shd w:val="clear" w:color="auto" w:fill="C0C0C0"/>
            <w:vAlign w:val="center"/>
          </w:tcPr>
          <w:p w14:paraId="3CFD2B25"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p>
          <w:p w14:paraId="576CF1D9"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r w:rsidRPr="003919CF">
              <w:rPr>
                <w:rFonts w:ascii="Arial" w:hAnsi="Arial" w:cs="Arial"/>
                <w:b/>
                <w:sz w:val="22"/>
                <w:szCs w:val="22"/>
              </w:rPr>
              <w:t xml:space="preserve">Total Reserves </w:t>
            </w:r>
          </w:p>
          <w:p w14:paraId="0986EFA5" w14:textId="77777777" w:rsidR="009712AD" w:rsidRPr="003919CF" w:rsidRDefault="009712AD" w:rsidP="0083323B">
            <w:pPr>
              <w:pStyle w:val="BodyText"/>
              <w:tabs>
                <w:tab w:val="left" w:pos="549"/>
                <w:tab w:val="left" w:pos="916"/>
                <w:tab w:val="left" w:pos="1268"/>
                <w:tab w:val="right" w:pos="7388"/>
                <w:tab w:val="right" w:pos="8828"/>
              </w:tabs>
              <w:rPr>
                <w:rFonts w:ascii="Arial" w:hAnsi="Arial" w:cs="Arial"/>
                <w:b/>
                <w:sz w:val="22"/>
                <w:szCs w:val="22"/>
              </w:rPr>
            </w:pPr>
          </w:p>
        </w:tc>
        <w:tc>
          <w:tcPr>
            <w:tcW w:w="1417" w:type="dxa"/>
            <w:shd w:val="clear" w:color="auto" w:fill="C0C0C0"/>
            <w:vAlign w:val="center"/>
          </w:tcPr>
          <w:p w14:paraId="18A4504E" w14:textId="77777777" w:rsidR="009712AD" w:rsidRPr="00163E5D"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sidRPr="00163E5D">
              <w:rPr>
                <w:rFonts w:ascii="Arial" w:hAnsi="Arial" w:cs="Arial"/>
                <w:b/>
                <w:sz w:val="22"/>
                <w:szCs w:val="22"/>
              </w:rPr>
              <w:t>1</w:t>
            </w:r>
            <w:r>
              <w:rPr>
                <w:rFonts w:ascii="Arial" w:hAnsi="Arial" w:cs="Arial"/>
                <w:b/>
                <w:sz w:val="22"/>
                <w:szCs w:val="22"/>
              </w:rPr>
              <w:t>8</w:t>
            </w:r>
            <w:r w:rsidRPr="00163E5D">
              <w:rPr>
                <w:rFonts w:ascii="Arial" w:hAnsi="Arial" w:cs="Arial"/>
                <w:b/>
                <w:sz w:val="22"/>
                <w:szCs w:val="22"/>
              </w:rPr>
              <w:t>,</w:t>
            </w:r>
            <w:r>
              <w:rPr>
                <w:rFonts w:ascii="Arial" w:hAnsi="Arial" w:cs="Arial"/>
                <w:b/>
                <w:sz w:val="22"/>
                <w:szCs w:val="22"/>
              </w:rPr>
              <w:t>593</w:t>
            </w:r>
          </w:p>
        </w:tc>
        <w:tc>
          <w:tcPr>
            <w:tcW w:w="1418" w:type="dxa"/>
            <w:shd w:val="clear" w:color="auto" w:fill="C0C0C0"/>
            <w:vAlign w:val="center"/>
          </w:tcPr>
          <w:p w14:paraId="72A97F2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13</w:t>
            </w:r>
            <w:r w:rsidRPr="007F5309">
              <w:rPr>
                <w:rFonts w:ascii="Arial" w:hAnsi="Arial" w:cs="Arial"/>
                <w:b/>
                <w:sz w:val="22"/>
                <w:szCs w:val="22"/>
              </w:rPr>
              <w:t>,</w:t>
            </w:r>
            <w:r>
              <w:rPr>
                <w:rFonts w:ascii="Arial" w:hAnsi="Arial" w:cs="Arial"/>
                <w:b/>
                <w:sz w:val="22"/>
                <w:szCs w:val="22"/>
              </w:rPr>
              <w:t>260</w:t>
            </w:r>
          </w:p>
        </w:tc>
        <w:tc>
          <w:tcPr>
            <w:tcW w:w="1543" w:type="dxa"/>
            <w:shd w:val="clear" w:color="auto" w:fill="C0C0C0"/>
            <w:vAlign w:val="center"/>
          </w:tcPr>
          <w:p w14:paraId="6B7ED0B4"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12,239</w:t>
            </w:r>
          </w:p>
        </w:tc>
        <w:tc>
          <w:tcPr>
            <w:tcW w:w="1434" w:type="dxa"/>
            <w:shd w:val="clear" w:color="auto" w:fill="C0C0C0"/>
            <w:vAlign w:val="center"/>
          </w:tcPr>
          <w:p w14:paraId="7B1980C0" w14:textId="77777777" w:rsidR="009712AD" w:rsidRPr="007F5309" w:rsidRDefault="009712AD" w:rsidP="0083323B">
            <w:pPr>
              <w:pStyle w:val="BodyText"/>
              <w:tabs>
                <w:tab w:val="left" w:pos="549"/>
                <w:tab w:val="left" w:pos="916"/>
                <w:tab w:val="left" w:pos="1268"/>
                <w:tab w:val="right" w:pos="7388"/>
                <w:tab w:val="right" w:pos="8828"/>
              </w:tabs>
              <w:jc w:val="right"/>
              <w:rPr>
                <w:rFonts w:ascii="Arial" w:hAnsi="Arial" w:cs="Arial"/>
                <w:b/>
                <w:sz w:val="22"/>
                <w:szCs w:val="22"/>
              </w:rPr>
            </w:pPr>
            <w:r>
              <w:rPr>
                <w:rFonts w:ascii="Arial" w:hAnsi="Arial" w:cs="Arial"/>
                <w:b/>
                <w:sz w:val="22"/>
                <w:szCs w:val="22"/>
              </w:rPr>
              <w:t xml:space="preserve">12,442        </w:t>
            </w:r>
          </w:p>
        </w:tc>
      </w:tr>
    </w:tbl>
    <w:p w14:paraId="63F5F905" w14:textId="77777777" w:rsidR="009712AD" w:rsidRPr="001C43EC" w:rsidRDefault="009712AD" w:rsidP="009712AD">
      <w:pPr>
        <w:pStyle w:val="Heading1"/>
        <w:numPr>
          <w:ilvl w:val="0"/>
          <w:numId w:val="0"/>
        </w:numPr>
        <w:ind w:left="357"/>
      </w:pPr>
      <w:r w:rsidRPr="001C43EC">
        <w:t xml:space="preserve">   </w:t>
      </w:r>
    </w:p>
    <w:p w14:paraId="165C4424" w14:textId="5FA5C526" w:rsidR="00594694" w:rsidRDefault="00594694" w:rsidP="009712AD">
      <w:pPr>
        <w:rPr>
          <w:rFonts w:cs="Arial"/>
        </w:rPr>
      </w:pPr>
    </w:p>
    <w:sectPr w:rsidR="00594694" w:rsidSect="00382613">
      <w:pgSz w:w="11906" w:h="16838" w:code="9"/>
      <w:pgMar w:top="851" w:right="1134"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930B" w14:textId="77777777" w:rsidR="00661425" w:rsidRDefault="00661425" w:rsidP="00306094">
      <w:pPr>
        <w:spacing w:line="240" w:lineRule="auto"/>
      </w:pPr>
      <w:r>
        <w:separator/>
      </w:r>
    </w:p>
  </w:endnote>
  <w:endnote w:type="continuationSeparator" w:id="0">
    <w:p w14:paraId="317EF400" w14:textId="77777777" w:rsidR="00661425" w:rsidRDefault="00661425" w:rsidP="00306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A9B9" w14:textId="77777777" w:rsidR="00661425" w:rsidRDefault="00661425">
    <w:pPr>
      <w:pStyle w:val="Footer"/>
    </w:pPr>
    <w:r>
      <w:object w:dxaOrig="15702" w:dyaOrig="1710" w14:anchorId="297A9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52.5pt;mso-position-horizontal-relative:page;mso-position-vertical-relative:page" o:ole="">
          <v:imagedata r:id="rId1" o:title=""/>
        </v:shape>
        <o:OLEObject Type="Embed" ProgID="MSPhotoEd.3" ShapeID="_x0000_i1025" DrawAspect="Content" ObjectID="_1571490124" r:id="rId2">
          <o:FieldCodes>\* MERGEFORMAT</o:FieldCodes>
        </o:OLEObject>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9711" w14:textId="77777777" w:rsidR="00661425" w:rsidRDefault="0066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E83" w14:textId="77777777" w:rsidR="00661425" w:rsidRDefault="00661425" w:rsidP="00306094">
      <w:pPr>
        <w:spacing w:line="240" w:lineRule="auto"/>
      </w:pPr>
      <w:r>
        <w:separator/>
      </w:r>
    </w:p>
  </w:footnote>
  <w:footnote w:type="continuationSeparator" w:id="0">
    <w:p w14:paraId="185F27AD" w14:textId="77777777" w:rsidR="00661425" w:rsidRDefault="00661425" w:rsidP="003060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0A0"/>
    <w:multiLevelType w:val="hybridMultilevel"/>
    <w:tmpl w:val="B614B24C"/>
    <w:lvl w:ilvl="0" w:tplc="08090017">
      <w:start w:val="1"/>
      <w:numFmt w:val="lowerLetter"/>
      <w:lvlText w:val="%1)"/>
      <w:lvlJc w:val="left"/>
      <w:pPr>
        <w:ind w:left="720" w:hanging="360"/>
      </w:p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 w15:restartNumberingAfterBreak="0">
    <w:nsid w:val="091B0AF0"/>
    <w:multiLevelType w:val="hybridMultilevel"/>
    <w:tmpl w:val="5EB23DFC"/>
    <w:lvl w:ilvl="0" w:tplc="DB947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27DC9"/>
    <w:multiLevelType w:val="hybridMultilevel"/>
    <w:tmpl w:val="AD26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429"/>
    <w:multiLevelType w:val="hybridMultilevel"/>
    <w:tmpl w:val="2B62D3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F5034"/>
    <w:multiLevelType w:val="hybridMultilevel"/>
    <w:tmpl w:val="381014CE"/>
    <w:lvl w:ilvl="0" w:tplc="692654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F390C"/>
    <w:multiLevelType w:val="hybridMultilevel"/>
    <w:tmpl w:val="C77ED334"/>
    <w:lvl w:ilvl="0" w:tplc="6302B6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B1056"/>
    <w:multiLevelType w:val="hybridMultilevel"/>
    <w:tmpl w:val="A60463C0"/>
    <w:lvl w:ilvl="0" w:tplc="1C705E5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2B6109"/>
    <w:multiLevelType w:val="hybridMultilevel"/>
    <w:tmpl w:val="C0225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6D1CA8"/>
    <w:multiLevelType w:val="hybridMultilevel"/>
    <w:tmpl w:val="593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B5C57"/>
    <w:multiLevelType w:val="hybridMultilevel"/>
    <w:tmpl w:val="9A3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6060A"/>
    <w:multiLevelType w:val="hybridMultilevel"/>
    <w:tmpl w:val="1292EAE8"/>
    <w:lvl w:ilvl="0" w:tplc="98B835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87E8D"/>
    <w:multiLevelType w:val="hybridMultilevel"/>
    <w:tmpl w:val="645C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24300A"/>
    <w:multiLevelType w:val="hybridMultilevel"/>
    <w:tmpl w:val="B818E956"/>
    <w:lvl w:ilvl="0" w:tplc="47BA18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70E64"/>
    <w:multiLevelType w:val="hybridMultilevel"/>
    <w:tmpl w:val="6BD42F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83645"/>
    <w:multiLevelType w:val="hybridMultilevel"/>
    <w:tmpl w:val="B4969228"/>
    <w:lvl w:ilvl="0" w:tplc="27123AD0">
      <w:start w:val="7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9"/>
  </w:num>
  <w:num w:numId="3">
    <w:abstractNumId w:val="11"/>
  </w:num>
  <w:num w:numId="4">
    <w:abstractNumId w:val="12"/>
  </w:num>
  <w:num w:numId="5">
    <w:abstractNumId w:val="13"/>
  </w:num>
  <w:num w:numId="6">
    <w:abstractNumId w:val="7"/>
  </w:num>
  <w:num w:numId="7">
    <w:abstractNumId w:val="3"/>
  </w:num>
  <w:num w:numId="8">
    <w:abstractNumId w:val="0"/>
  </w:num>
  <w:num w:numId="9">
    <w:abstractNumId w:val="1"/>
  </w:num>
  <w:num w:numId="10">
    <w:abstractNumId w:val="4"/>
  </w:num>
  <w:num w:numId="11">
    <w:abstractNumId w:val="14"/>
  </w:num>
  <w:num w:numId="12">
    <w:abstractNumId w:val="5"/>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C4"/>
    <w:rsid w:val="00012D75"/>
    <w:rsid w:val="000146E7"/>
    <w:rsid w:val="00015620"/>
    <w:rsid w:val="00016184"/>
    <w:rsid w:val="00021A19"/>
    <w:rsid w:val="00024833"/>
    <w:rsid w:val="00027BF3"/>
    <w:rsid w:val="00033F89"/>
    <w:rsid w:val="000347E8"/>
    <w:rsid w:val="00043848"/>
    <w:rsid w:val="00054C43"/>
    <w:rsid w:val="00054EA5"/>
    <w:rsid w:val="00056473"/>
    <w:rsid w:val="000610EA"/>
    <w:rsid w:val="00063C58"/>
    <w:rsid w:val="00082486"/>
    <w:rsid w:val="0009135F"/>
    <w:rsid w:val="0009527A"/>
    <w:rsid w:val="000B5ABE"/>
    <w:rsid w:val="000C4B67"/>
    <w:rsid w:val="000C5A3F"/>
    <w:rsid w:val="000D0A24"/>
    <w:rsid w:val="000D2CE8"/>
    <w:rsid w:val="000D4763"/>
    <w:rsid w:val="000D538F"/>
    <w:rsid w:val="000E373A"/>
    <w:rsid w:val="000E4D09"/>
    <w:rsid w:val="000F4A68"/>
    <w:rsid w:val="00102ED6"/>
    <w:rsid w:val="0011222C"/>
    <w:rsid w:val="00112895"/>
    <w:rsid w:val="00123F1D"/>
    <w:rsid w:val="001501B8"/>
    <w:rsid w:val="00151362"/>
    <w:rsid w:val="001619C7"/>
    <w:rsid w:val="00172FD9"/>
    <w:rsid w:val="00175A9C"/>
    <w:rsid w:val="00175F39"/>
    <w:rsid w:val="00186DB8"/>
    <w:rsid w:val="00190341"/>
    <w:rsid w:val="00194D9C"/>
    <w:rsid w:val="001A1B95"/>
    <w:rsid w:val="001B0005"/>
    <w:rsid w:val="001B0CB6"/>
    <w:rsid w:val="001B26B5"/>
    <w:rsid w:val="001B5DAC"/>
    <w:rsid w:val="001B6F81"/>
    <w:rsid w:val="001B721C"/>
    <w:rsid w:val="001C07AC"/>
    <w:rsid w:val="001C2AE3"/>
    <w:rsid w:val="001C43EC"/>
    <w:rsid w:val="001C4554"/>
    <w:rsid w:val="001D17FA"/>
    <w:rsid w:val="001D41D9"/>
    <w:rsid w:val="001E0FCF"/>
    <w:rsid w:val="001E25D1"/>
    <w:rsid w:val="001E6E64"/>
    <w:rsid w:val="001E740B"/>
    <w:rsid w:val="001E7A32"/>
    <w:rsid w:val="00204EA0"/>
    <w:rsid w:val="00204EB6"/>
    <w:rsid w:val="002070C7"/>
    <w:rsid w:val="00212006"/>
    <w:rsid w:val="0021312B"/>
    <w:rsid w:val="002148F8"/>
    <w:rsid w:val="002154BB"/>
    <w:rsid w:val="00227F3B"/>
    <w:rsid w:val="00236398"/>
    <w:rsid w:val="002479CA"/>
    <w:rsid w:val="0025229C"/>
    <w:rsid w:val="002668FD"/>
    <w:rsid w:val="002807A3"/>
    <w:rsid w:val="00287AD7"/>
    <w:rsid w:val="002930EA"/>
    <w:rsid w:val="002945D5"/>
    <w:rsid w:val="002A05FF"/>
    <w:rsid w:val="002A2D8F"/>
    <w:rsid w:val="002A6167"/>
    <w:rsid w:val="002A7825"/>
    <w:rsid w:val="002B38C5"/>
    <w:rsid w:val="002B67B3"/>
    <w:rsid w:val="002C4112"/>
    <w:rsid w:val="002C6A03"/>
    <w:rsid w:val="002D27CF"/>
    <w:rsid w:val="002D6018"/>
    <w:rsid w:val="002D66B7"/>
    <w:rsid w:val="002E0BFC"/>
    <w:rsid w:val="002E1BF9"/>
    <w:rsid w:val="002E1ED4"/>
    <w:rsid w:val="002E6999"/>
    <w:rsid w:val="002E73E6"/>
    <w:rsid w:val="00301443"/>
    <w:rsid w:val="00306094"/>
    <w:rsid w:val="00322B9E"/>
    <w:rsid w:val="00325095"/>
    <w:rsid w:val="00337F62"/>
    <w:rsid w:val="00343286"/>
    <w:rsid w:val="003450BC"/>
    <w:rsid w:val="00347D1C"/>
    <w:rsid w:val="00354A90"/>
    <w:rsid w:val="00354B2B"/>
    <w:rsid w:val="00356388"/>
    <w:rsid w:val="00361DB7"/>
    <w:rsid w:val="00362BA9"/>
    <w:rsid w:val="0036366C"/>
    <w:rsid w:val="0037240A"/>
    <w:rsid w:val="00373DF6"/>
    <w:rsid w:val="00380D13"/>
    <w:rsid w:val="00381C69"/>
    <w:rsid w:val="00382613"/>
    <w:rsid w:val="00385FA8"/>
    <w:rsid w:val="00386E81"/>
    <w:rsid w:val="00391A62"/>
    <w:rsid w:val="003A1B44"/>
    <w:rsid w:val="003A70DD"/>
    <w:rsid w:val="003B0AC9"/>
    <w:rsid w:val="003E13CF"/>
    <w:rsid w:val="00420508"/>
    <w:rsid w:val="004234E1"/>
    <w:rsid w:val="00435732"/>
    <w:rsid w:val="00443B8E"/>
    <w:rsid w:val="00446066"/>
    <w:rsid w:val="00455264"/>
    <w:rsid w:val="00465327"/>
    <w:rsid w:val="00465972"/>
    <w:rsid w:val="004817E9"/>
    <w:rsid w:val="00491D24"/>
    <w:rsid w:val="0049384E"/>
    <w:rsid w:val="004952F0"/>
    <w:rsid w:val="00496519"/>
    <w:rsid w:val="004B38A9"/>
    <w:rsid w:val="004C33BB"/>
    <w:rsid w:val="004D7B0B"/>
    <w:rsid w:val="004E3CAC"/>
    <w:rsid w:val="004F26D6"/>
    <w:rsid w:val="004F2CC9"/>
    <w:rsid w:val="004F34B0"/>
    <w:rsid w:val="004F6562"/>
    <w:rsid w:val="005019EC"/>
    <w:rsid w:val="00501E11"/>
    <w:rsid w:val="0050746F"/>
    <w:rsid w:val="00510D5C"/>
    <w:rsid w:val="005112E6"/>
    <w:rsid w:val="005211CC"/>
    <w:rsid w:val="0052667D"/>
    <w:rsid w:val="0054197A"/>
    <w:rsid w:val="005437F3"/>
    <w:rsid w:val="00546B7B"/>
    <w:rsid w:val="0054789A"/>
    <w:rsid w:val="00547B53"/>
    <w:rsid w:val="00551DBD"/>
    <w:rsid w:val="00556873"/>
    <w:rsid w:val="0056537D"/>
    <w:rsid w:val="00572E5C"/>
    <w:rsid w:val="0057654E"/>
    <w:rsid w:val="00582D5F"/>
    <w:rsid w:val="00586E1C"/>
    <w:rsid w:val="00590F38"/>
    <w:rsid w:val="00591759"/>
    <w:rsid w:val="00594694"/>
    <w:rsid w:val="005B1469"/>
    <w:rsid w:val="005B2AE1"/>
    <w:rsid w:val="005B496D"/>
    <w:rsid w:val="005B4F2A"/>
    <w:rsid w:val="005C299E"/>
    <w:rsid w:val="005C4426"/>
    <w:rsid w:val="005D135E"/>
    <w:rsid w:val="005E5B8A"/>
    <w:rsid w:val="005E6305"/>
    <w:rsid w:val="005F18C8"/>
    <w:rsid w:val="005F20A4"/>
    <w:rsid w:val="005F31D5"/>
    <w:rsid w:val="00610AC1"/>
    <w:rsid w:val="006174D8"/>
    <w:rsid w:val="00617C5B"/>
    <w:rsid w:val="006215AE"/>
    <w:rsid w:val="00623BEE"/>
    <w:rsid w:val="00631910"/>
    <w:rsid w:val="006366E3"/>
    <w:rsid w:val="0064026C"/>
    <w:rsid w:val="006461ED"/>
    <w:rsid w:val="006475CD"/>
    <w:rsid w:val="00657F10"/>
    <w:rsid w:val="00661425"/>
    <w:rsid w:val="00662305"/>
    <w:rsid w:val="0066534B"/>
    <w:rsid w:val="00670D81"/>
    <w:rsid w:val="0067358A"/>
    <w:rsid w:val="00691D41"/>
    <w:rsid w:val="006954B3"/>
    <w:rsid w:val="00697CB3"/>
    <w:rsid w:val="006B1A1A"/>
    <w:rsid w:val="006B1DDB"/>
    <w:rsid w:val="006C6611"/>
    <w:rsid w:val="006D0FEA"/>
    <w:rsid w:val="006D267C"/>
    <w:rsid w:val="006E62C8"/>
    <w:rsid w:val="006F1008"/>
    <w:rsid w:val="006F2EF1"/>
    <w:rsid w:val="006F478C"/>
    <w:rsid w:val="006F4BEC"/>
    <w:rsid w:val="006F5C4E"/>
    <w:rsid w:val="006F6FCD"/>
    <w:rsid w:val="0070166F"/>
    <w:rsid w:val="00711305"/>
    <w:rsid w:val="0072436C"/>
    <w:rsid w:val="007245AD"/>
    <w:rsid w:val="00726A4D"/>
    <w:rsid w:val="00732FD9"/>
    <w:rsid w:val="00733492"/>
    <w:rsid w:val="00733554"/>
    <w:rsid w:val="0073520B"/>
    <w:rsid w:val="007461A5"/>
    <w:rsid w:val="00752B3F"/>
    <w:rsid w:val="00755D84"/>
    <w:rsid w:val="0075647E"/>
    <w:rsid w:val="0075766E"/>
    <w:rsid w:val="00764937"/>
    <w:rsid w:val="00777C3D"/>
    <w:rsid w:val="00780573"/>
    <w:rsid w:val="007808C8"/>
    <w:rsid w:val="00781CA7"/>
    <w:rsid w:val="00791685"/>
    <w:rsid w:val="0079768A"/>
    <w:rsid w:val="007B0261"/>
    <w:rsid w:val="007C5F12"/>
    <w:rsid w:val="007C6170"/>
    <w:rsid w:val="007E7575"/>
    <w:rsid w:val="007F69A5"/>
    <w:rsid w:val="00807E5A"/>
    <w:rsid w:val="00807E9D"/>
    <w:rsid w:val="00812E14"/>
    <w:rsid w:val="0082059B"/>
    <w:rsid w:val="00821652"/>
    <w:rsid w:val="00823017"/>
    <w:rsid w:val="008303DC"/>
    <w:rsid w:val="0083323B"/>
    <w:rsid w:val="00833CA8"/>
    <w:rsid w:val="008360A9"/>
    <w:rsid w:val="008464FF"/>
    <w:rsid w:val="008550C8"/>
    <w:rsid w:val="00857C38"/>
    <w:rsid w:val="008656F5"/>
    <w:rsid w:val="00867D87"/>
    <w:rsid w:val="0087055A"/>
    <w:rsid w:val="00871598"/>
    <w:rsid w:val="00882560"/>
    <w:rsid w:val="00883E06"/>
    <w:rsid w:val="00890E5E"/>
    <w:rsid w:val="00896F7F"/>
    <w:rsid w:val="008A46E4"/>
    <w:rsid w:val="008A5356"/>
    <w:rsid w:val="008A652E"/>
    <w:rsid w:val="008A7274"/>
    <w:rsid w:val="008C090A"/>
    <w:rsid w:val="008C3A69"/>
    <w:rsid w:val="008C4D94"/>
    <w:rsid w:val="008D0E82"/>
    <w:rsid w:val="008F0FF8"/>
    <w:rsid w:val="00905B91"/>
    <w:rsid w:val="00913251"/>
    <w:rsid w:val="00913DA5"/>
    <w:rsid w:val="00932E30"/>
    <w:rsid w:val="00936F39"/>
    <w:rsid w:val="009469C1"/>
    <w:rsid w:val="00951217"/>
    <w:rsid w:val="009712AD"/>
    <w:rsid w:val="0097726E"/>
    <w:rsid w:val="009811A0"/>
    <w:rsid w:val="00983EEE"/>
    <w:rsid w:val="00986991"/>
    <w:rsid w:val="00990EDF"/>
    <w:rsid w:val="0099443C"/>
    <w:rsid w:val="009A2A32"/>
    <w:rsid w:val="009C6256"/>
    <w:rsid w:val="009D7414"/>
    <w:rsid w:val="009F27B6"/>
    <w:rsid w:val="009F2CF2"/>
    <w:rsid w:val="009F732D"/>
    <w:rsid w:val="00A003B8"/>
    <w:rsid w:val="00A22A3E"/>
    <w:rsid w:val="00A23253"/>
    <w:rsid w:val="00A248B9"/>
    <w:rsid w:val="00A30A80"/>
    <w:rsid w:val="00A34D36"/>
    <w:rsid w:val="00A35989"/>
    <w:rsid w:val="00A410EF"/>
    <w:rsid w:val="00A5695E"/>
    <w:rsid w:val="00A62586"/>
    <w:rsid w:val="00A6715A"/>
    <w:rsid w:val="00A67C2C"/>
    <w:rsid w:val="00A67CF2"/>
    <w:rsid w:val="00A742D9"/>
    <w:rsid w:val="00A748D3"/>
    <w:rsid w:val="00A76AD7"/>
    <w:rsid w:val="00A85704"/>
    <w:rsid w:val="00A8635A"/>
    <w:rsid w:val="00A87E19"/>
    <w:rsid w:val="00AA0508"/>
    <w:rsid w:val="00AA795C"/>
    <w:rsid w:val="00AB2F9C"/>
    <w:rsid w:val="00AB7128"/>
    <w:rsid w:val="00AC0DA0"/>
    <w:rsid w:val="00AC6ACF"/>
    <w:rsid w:val="00AD29F9"/>
    <w:rsid w:val="00AE0F1E"/>
    <w:rsid w:val="00AE3E5B"/>
    <w:rsid w:val="00AE7426"/>
    <w:rsid w:val="00AF099E"/>
    <w:rsid w:val="00AF4A8D"/>
    <w:rsid w:val="00AF772C"/>
    <w:rsid w:val="00B00E10"/>
    <w:rsid w:val="00B0307C"/>
    <w:rsid w:val="00B15185"/>
    <w:rsid w:val="00B17DC4"/>
    <w:rsid w:val="00B2775D"/>
    <w:rsid w:val="00B32FC6"/>
    <w:rsid w:val="00B33823"/>
    <w:rsid w:val="00B360BD"/>
    <w:rsid w:val="00B37268"/>
    <w:rsid w:val="00B42A94"/>
    <w:rsid w:val="00B51E29"/>
    <w:rsid w:val="00B772F4"/>
    <w:rsid w:val="00B83BC4"/>
    <w:rsid w:val="00B8549A"/>
    <w:rsid w:val="00B8657F"/>
    <w:rsid w:val="00B92876"/>
    <w:rsid w:val="00BA42B7"/>
    <w:rsid w:val="00BB0FCD"/>
    <w:rsid w:val="00BB11ED"/>
    <w:rsid w:val="00BB2909"/>
    <w:rsid w:val="00BB2BA4"/>
    <w:rsid w:val="00BB5545"/>
    <w:rsid w:val="00BB59AB"/>
    <w:rsid w:val="00BB676C"/>
    <w:rsid w:val="00BD0360"/>
    <w:rsid w:val="00BD1F71"/>
    <w:rsid w:val="00BD50CB"/>
    <w:rsid w:val="00BE2972"/>
    <w:rsid w:val="00BE3190"/>
    <w:rsid w:val="00BE3424"/>
    <w:rsid w:val="00BE4FF5"/>
    <w:rsid w:val="00BE7115"/>
    <w:rsid w:val="00C040D6"/>
    <w:rsid w:val="00C05558"/>
    <w:rsid w:val="00C10BB5"/>
    <w:rsid w:val="00C1198D"/>
    <w:rsid w:val="00C11E18"/>
    <w:rsid w:val="00C162EA"/>
    <w:rsid w:val="00C209B3"/>
    <w:rsid w:val="00C248DC"/>
    <w:rsid w:val="00C26DD5"/>
    <w:rsid w:val="00C3567F"/>
    <w:rsid w:val="00C36D16"/>
    <w:rsid w:val="00C40F99"/>
    <w:rsid w:val="00C46797"/>
    <w:rsid w:val="00C52878"/>
    <w:rsid w:val="00C52B1F"/>
    <w:rsid w:val="00C551C0"/>
    <w:rsid w:val="00C56DA3"/>
    <w:rsid w:val="00C622C4"/>
    <w:rsid w:val="00C62986"/>
    <w:rsid w:val="00C71457"/>
    <w:rsid w:val="00C74DDE"/>
    <w:rsid w:val="00C85152"/>
    <w:rsid w:val="00C929AB"/>
    <w:rsid w:val="00C93EE8"/>
    <w:rsid w:val="00CA76D5"/>
    <w:rsid w:val="00CA7861"/>
    <w:rsid w:val="00CC36A0"/>
    <w:rsid w:val="00CD36FF"/>
    <w:rsid w:val="00CD399F"/>
    <w:rsid w:val="00CD455E"/>
    <w:rsid w:val="00CE4A87"/>
    <w:rsid w:val="00D00489"/>
    <w:rsid w:val="00D10CA8"/>
    <w:rsid w:val="00D4208E"/>
    <w:rsid w:val="00D4274D"/>
    <w:rsid w:val="00D42CC9"/>
    <w:rsid w:val="00D50F2B"/>
    <w:rsid w:val="00D55EC6"/>
    <w:rsid w:val="00D6317F"/>
    <w:rsid w:val="00D631B5"/>
    <w:rsid w:val="00D65BD4"/>
    <w:rsid w:val="00D66FA5"/>
    <w:rsid w:val="00D818C0"/>
    <w:rsid w:val="00D902E6"/>
    <w:rsid w:val="00DA1EDB"/>
    <w:rsid w:val="00DA2370"/>
    <w:rsid w:val="00DA4E1A"/>
    <w:rsid w:val="00DB7C16"/>
    <w:rsid w:val="00DC143E"/>
    <w:rsid w:val="00DC5762"/>
    <w:rsid w:val="00DF11BC"/>
    <w:rsid w:val="00DF329D"/>
    <w:rsid w:val="00DF41A8"/>
    <w:rsid w:val="00DF5464"/>
    <w:rsid w:val="00DF5C72"/>
    <w:rsid w:val="00E13752"/>
    <w:rsid w:val="00E30450"/>
    <w:rsid w:val="00E32DC0"/>
    <w:rsid w:val="00E3735D"/>
    <w:rsid w:val="00E41A54"/>
    <w:rsid w:val="00E50827"/>
    <w:rsid w:val="00E570E5"/>
    <w:rsid w:val="00E60A26"/>
    <w:rsid w:val="00E6712A"/>
    <w:rsid w:val="00E73D90"/>
    <w:rsid w:val="00E7506A"/>
    <w:rsid w:val="00E7528E"/>
    <w:rsid w:val="00E756B4"/>
    <w:rsid w:val="00E83CCD"/>
    <w:rsid w:val="00E867A4"/>
    <w:rsid w:val="00EA5211"/>
    <w:rsid w:val="00EC0B2B"/>
    <w:rsid w:val="00EC38B9"/>
    <w:rsid w:val="00EC3B73"/>
    <w:rsid w:val="00EC4EBE"/>
    <w:rsid w:val="00EC7E6F"/>
    <w:rsid w:val="00ED30B7"/>
    <w:rsid w:val="00ED6AAD"/>
    <w:rsid w:val="00EE6197"/>
    <w:rsid w:val="00EF2F33"/>
    <w:rsid w:val="00F03736"/>
    <w:rsid w:val="00F15BBF"/>
    <w:rsid w:val="00F23AF2"/>
    <w:rsid w:val="00F244A1"/>
    <w:rsid w:val="00F24D6C"/>
    <w:rsid w:val="00F3537F"/>
    <w:rsid w:val="00F35C4F"/>
    <w:rsid w:val="00F36778"/>
    <w:rsid w:val="00F375BF"/>
    <w:rsid w:val="00F4036C"/>
    <w:rsid w:val="00F40ED1"/>
    <w:rsid w:val="00F4438C"/>
    <w:rsid w:val="00F4562A"/>
    <w:rsid w:val="00F47E54"/>
    <w:rsid w:val="00F559DD"/>
    <w:rsid w:val="00F649F6"/>
    <w:rsid w:val="00F70C16"/>
    <w:rsid w:val="00F7347D"/>
    <w:rsid w:val="00F7348D"/>
    <w:rsid w:val="00F775B4"/>
    <w:rsid w:val="00F81330"/>
    <w:rsid w:val="00F863BA"/>
    <w:rsid w:val="00F90ABD"/>
    <w:rsid w:val="00F90D06"/>
    <w:rsid w:val="00F914C0"/>
    <w:rsid w:val="00F9588C"/>
    <w:rsid w:val="00F97EBF"/>
    <w:rsid w:val="00FA1342"/>
    <w:rsid w:val="00FA2CA7"/>
    <w:rsid w:val="00FA493B"/>
    <w:rsid w:val="00FB1E0A"/>
    <w:rsid w:val="00FC0B1F"/>
    <w:rsid w:val="00FC5B05"/>
    <w:rsid w:val="00FC7FBC"/>
    <w:rsid w:val="00FD005B"/>
    <w:rsid w:val="00FD02D2"/>
    <w:rsid w:val="00FD7FBA"/>
    <w:rsid w:val="00FE00B8"/>
    <w:rsid w:val="00FF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2E49A9D"/>
  <w15:chartTrackingRefBased/>
  <w15:docId w15:val="{07D21309-E9D3-4117-97E7-F506282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8E"/>
    <w:pPr>
      <w:spacing w:after="0" w:line="288" w:lineRule="auto"/>
      <w:jc w:val="both"/>
    </w:pPr>
    <w:rPr>
      <w:rFonts w:ascii="Arial" w:hAnsi="Arial"/>
    </w:rPr>
  </w:style>
  <w:style w:type="paragraph" w:styleId="Heading1">
    <w:name w:val="heading 1"/>
    <w:basedOn w:val="ListParagraph"/>
    <w:next w:val="Normal"/>
    <w:link w:val="Heading1Char"/>
    <w:uiPriority w:val="9"/>
    <w:qFormat/>
    <w:rsid w:val="00024833"/>
    <w:pPr>
      <w:numPr>
        <w:numId w:val="1"/>
      </w:numPr>
      <w:spacing w:after="120"/>
      <w:ind w:left="357" w:hanging="357"/>
      <w:outlineLvl w:val="0"/>
    </w:pPr>
    <w:rPr>
      <w:b/>
      <w:sz w:val="28"/>
      <w:u w:val="single"/>
    </w:rPr>
  </w:style>
  <w:style w:type="paragraph" w:styleId="Heading2">
    <w:name w:val="heading 2"/>
    <w:basedOn w:val="Normal"/>
    <w:next w:val="Normal"/>
    <w:link w:val="Heading2Char"/>
    <w:uiPriority w:val="9"/>
    <w:unhideWhenUsed/>
    <w:qFormat/>
    <w:rsid w:val="00024833"/>
    <w:pPr>
      <w:spacing w:after="120"/>
      <w:outlineLvl w:val="1"/>
    </w:pPr>
    <w:rPr>
      <w:b/>
      <w:u w:val="single"/>
    </w:rPr>
  </w:style>
  <w:style w:type="paragraph" w:styleId="Heading3">
    <w:name w:val="heading 3"/>
    <w:basedOn w:val="Normal"/>
    <w:next w:val="Normal"/>
    <w:link w:val="Heading3Char"/>
    <w:uiPriority w:val="9"/>
    <w:unhideWhenUsed/>
    <w:qFormat/>
    <w:rsid w:val="00024833"/>
    <w:pPr>
      <w:outlineLvl w:val="2"/>
    </w:pPr>
    <w:rPr>
      <w:b/>
    </w:rPr>
  </w:style>
  <w:style w:type="paragraph" w:styleId="Heading4">
    <w:name w:val="heading 4"/>
    <w:basedOn w:val="Normal"/>
    <w:next w:val="Normal"/>
    <w:link w:val="Heading4Char"/>
    <w:uiPriority w:val="9"/>
    <w:semiHidden/>
    <w:unhideWhenUsed/>
    <w:qFormat/>
    <w:rsid w:val="009712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094"/>
    <w:pPr>
      <w:tabs>
        <w:tab w:val="center" w:pos="4513"/>
        <w:tab w:val="right" w:pos="9026"/>
      </w:tabs>
      <w:spacing w:line="240" w:lineRule="auto"/>
    </w:pPr>
  </w:style>
  <w:style w:type="character" w:customStyle="1" w:styleId="HeaderChar">
    <w:name w:val="Header Char"/>
    <w:basedOn w:val="DefaultParagraphFont"/>
    <w:link w:val="Header"/>
    <w:uiPriority w:val="99"/>
    <w:rsid w:val="00306094"/>
    <w:rPr>
      <w:rFonts w:ascii="Arial" w:hAnsi="Arial"/>
    </w:rPr>
  </w:style>
  <w:style w:type="paragraph" w:styleId="Footer">
    <w:name w:val="footer"/>
    <w:basedOn w:val="Normal"/>
    <w:link w:val="FooterChar"/>
    <w:uiPriority w:val="99"/>
    <w:unhideWhenUsed/>
    <w:rsid w:val="00306094"/>
    <w:pPr>
      <w:tabs>
        <w:tab w:val="center" w:pos="4513"/>
        <w:tab w:val="right" w:pos="9026"/>
      </w:tabs>
      <w:spacing w:line="240" w:lineRule="auto"/>
    </w:pPr>
  </w:style>
  <w:style w:type="character" w:customStyle="1" w:styleId="FooterChar">
    <w:name w:val="Footer Char"/>
    <w:basedOn w:val="DefaultParagraphFont"/>
    <w:link w:val="Footer"/>
    <w:uiPriority w:val="99"/>
    <w:rsid w:val="00306094"/>
    <w:rPr>
      <w:rFonts w:ascii="Arial" w:hAnsi="Arial"/>
    </w:rPr>
  </w:style>
  <w:style w:type="paragraph" w:styleId="ListParagraph">
    <w:name w:val="List Paragraph"/>
    <w:basedOn w:val="Normal"/>
    <w:uiPriority w:val="34"/>
    <w:qFormat/>
    <w:rsid w:val="00024833"/>
    <w:pPr>
      <w:ind w:left="720"/>
      <w:contextualSpacing/>
    </w:pPr>
  </w:style>
  <w:style w:type="character" w:customStyle="1" w:styleId="Heading1Char">
    <w:name w:val="Heading 1 Char"/>
    <w:basedOn w:val="DefaultParagraphFont"/>
    <w:link w:val="Heading1"/>
    <w:uiPriority w:val="9"/>
    <w:rsid w:val="00024833"/>
    <w:rPr>
      <w:rFonts w:ascii="Arial" w:hAnsi="Arial"/>
      <w:b/>
      <w:sz w:val="28"/>
      <w:u w:val="single"/>
    </w:rPr>
  </w:style>
  <w:style w:type="character" w:customStyle="1" w:styleId="Heading2Char">
    <w:name w:val="Heading 2 Char"/>
    <w:basedOn w:val="DefaultParagraphFont"/>
    <w:link w:val="Heading2"/>
    <w:uiPriority w:val="9"/>
    <w:rsid w:val="00024833"/>
    <w:rPr>
      <w:rFonts w:ascii="Arial" w:hAnsi="Arial"/>
      <w:b/>
      <w:u w:val="single"/>
    </w:rPr>
  </w:style>
  <w:style w:type="character" w:customStyle="1" w:styleId="Heading3Char">
    <w:name w:val="Heading 3 Char"/>
    <w:basedOn w:val="DefaultParagraphFont"/>
    <w:link w:val="Heading3"/>
    <w:uiPriority w:val="9"/>
    <w:rsid w:val="00024833"/>
    <w:rPr>
      <w:rFonts w:ascii="Arial" w:hAnsi="Arial"/>
      <w:b/>
    </w:rPr>
  </w:style>
  <w:style w:type="paragraph" w:styleId="BalloonText">
    <w:name w:val="Balloon Text"/>
    <w:basedOn w:val="Normal"/>
    <w:link w:val="BalloonTextChar"/>
    <w:uiPriority w:val="99"/>
    <w:semiHidden/>
    <w:unhideWhenUsed/>
    <w:rsid w:val="00F775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B4"/>
    <w:rPr>
      <w:rFonts w:ascii="Segoe UI" w:hAnsi="Segoe UI" w:cs="Segoe UI"/>
      <w:sz w:val="18"/>
      <w:szCs w:val="18"/>
    </w:rPr>
  </w:style>
  <w:style w:type="paragraph" w:styleId="NoSpacing">
    <w:name w:val="No Spacing"/>
    <w:uiPriority w:val="1"/>
    <w:qFormat/>
    <w:rsid w:val="00D818C0"/>
    <w:pPr>
      <w:spacing w:after="0" w:line="240" w:lineRule="auto"/>
      <w:jc w:val="both"/>
    </w:pPr>
    <w:rPr>
      <w:rFonts w:ascii="Arial" w:hAnsi="Arial"/>
    </w:rPr>
  </w:style>
  <w:style w:type="character" w:styleId="Hyperlink">
    <w:name w:val="Hyperlink"/>
    <w:basedOn w:val="DefaultParagraphFont"/>
    <w:uiPriority w:val="99"/>
    <w:semiHidden/>
    <w:unhideWhenUsed/>
    <w:rsid w:val="002E73E6"/>
    <w:rPr>
      <w:color w:val="0000FF"/>
      <w:u w:val="single"/>
    </w:rPr>
  </w:style>
  <w:style w:type="character" w:styleId="FollowedHyperlink">
    <w:name w:val="FollowedHyperlink"/>
    <w:basedOn w:val="DefaultParagraphFont"/>
    <w:uiPriority w:val="99"/>
    <w:semiHidden/>
    <w:unhideWhenUsed/>
    <w:rsid w:val="002E73E6"/>
    <w:rPr>
      <w:color w:val="800080"/>
      <w:u w:val="single"/>
    </w:rPr>
  </w:style>
  <w:style w:type="paragraph" w:customStyle="1" w:styleId="xl63">
    <w:name w:val="xl63"/>
    <w:basedOn w:val="Normal"/>
    <w:rsid w:val="002E73E6"/>
    <w:pP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4">
    <w:name w:val="xl64"/>
    <w:basedOn w:val="Normal"/>
    <w:rsid w:val="002E73E6"/>
    <w:pPr>
      <w:spacing w:before="100" w:beforeAutospacing="1" w:after="100" w:afterAutospacing="1" w:line="240" w:lineRule="auto"/>
      <w:jc w:val="left"/>
      <w:textAlignment w:val="top"/>
    </w:pPr>
    <w:rPr>
      <w:rFonts w:eastAsia="Times New Roman" w:cs="Arial"/>
      <w:sz w:val="32"/>
      <w:szCs w:val="32"/>
      <w:lang w:eastAsia="en-GB"/>
    </w:rPr>
  </w:style>
  <w:style w:type="paragraph" w:customStyle="1" w:styleId="xl65">
    <w:name w:val="xl65"/>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6">
    <w:name w:val="xl66"/>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7">
    <w:name w:val="xl67"/>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8">
    <w:name w:val="xl68"/>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69">
    <w:name w:val="xl69"/>
    <w:basedOn w:val="Normal"/>
    <w:rsid w:val="002E73E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70">
    <w:name w:val="xl70"/>
    <w:basedOn w:val="Normal"/>
    <w:rsid w:val="002E73E6"/>
    <w:pPr>
      <w:spacing w:before="100" w:beforeAutospacing="1" w:after="100" w:afterAutospacing="1" w:line="240" w:lineRule="auto"/>
      <w:jc w:val="left"/>
      <w:textAlignment w:val="top"/>
    </w:pPr>
    <w:rPr>
      <w:rFonts w:eastAsia="Times New Roman" w:cs="Arial"/>
      <w:b/>
      <w:bCs/>
      <w:sz w:val="28"/>
      <w:szCs w:val="28"/>
      <w:u w:val="single"/>
      <w:lang w:eastAsia="en-GB"/>
    </w:rPr>
  </w:style>
  <w:style w:type="paragraph" w:customStyle="1" w:styleId="xl71">
    <w:name w:val="xl71"/>
    <w:basedOn w:val="Normal"/>
    <w:rsid w:val="002E73E6"/>
    <w:pP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72">
    <w:name w:val="xl72"/>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73">
    <w:name w:val="xl73"/>
    <w:basedOn w:val="Normal"/>
    <w:rsid w:val="002E73E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74">
    <w:name w:val="xl74"/>
    <w:basedOn w:val="Normal"/>
    <w:rsid w:val="002E73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75">
    <w:name w:val="xl75"/>
    <w:basedOn w:val="Normal"/>
    <w:rsid w:val="002E73E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Arial"/>
      <w:sz w:val="24"/>
      <w:szCs w:val="24"/>
      <w:lang w:eastAsia="en-GB"/>
    </w:rPr>
  </w:style>
  <w:style w:type="paragraph" w:customStyle="1" w:styleId="xl76">
    <w:name w:val="xl76"/>
    <w:basedOn w:val="Normal"/>
    <w:rsid w:val="002E73E6"/>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77">
    <w:name w:val="xl77"/>
    <w:basedOn w:val="Normal"/>
    <w:rsid w:val="002E73E6"/>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78">
    <w:name w:val="xl78"/>
    <w:basedOn w:val="Normal"/>
    <w:rsid w:val="002E73E6"/>
    <w:pPr>
      <w:spacing w:before="100" w:beforeAutospacing="1" w:after="100" w:afterAutospacing="1" w:line="240" w:lineRule="auto"/>
      <w:jc w:val="left"/>
      <w:textAlignment w:val="top"/>
    </w:pPr>
    <w:rPr>
      <w:rFonts w:eastAsia="Times New Roman" w:cs="Arial"/>
      <w:b/>
      <w:bCs/>
      <w:sz w:val="32"/>
      <w:szCs w:val="32"/>
      <w:lang w:eastAsia="en-GB"/>
    </w:rPr>
  </w:style>
  <w:style w:type="paragraph" w:customStyle="1" w:styleId="xl79">
    <w:name w:val="xl79"/>
    <w:basedOn w:val="Normal"/>
    <w:rsid w:val="002E73E6"/>
    <w:pP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80">
    <w:name w:val="xl80"/>
    <w:basedOn w:val="Normal"/>
    <w:rsid w:val="002E73E6"/>
    <w:pPr>
      <w:spacing w:before="100" w:beforeAutospacing="1" w:after="100" w:afterAutospacing="1" w:line="240" w:lineRule="auto"/>
      <w:jc w:val="left"/>
      <w:textAlignment w:val="top"/>
    </w:pPr>
    <w:rPr>
      <w:rFonts w:eastAsia="Times New Roman" w:cs="Arial"/>
      <w:sz w:val="16"/>
      <w:szCs w:val="16"/>
      <w:lang w:eastAsia="en-GB"/>
    </w:rPr>
  </w:style>
  <w:style w:type="paragraph" w:customStyle="1" w:styleId="xl81">
    <w:name w:val="xl81"/>
    <w:basedOn w:val="Normal"/>
    <w:rsid w:val="002E73E6"/>
    <w:pPr>
      <w:spacing w:before="100" w:beforeAutospacing="1" w:after="100" w:afterAutospacing="1" w:line="240" w:lineRule="auto"/>
      <w:jc w:val="left"/>
      <w:textAlignment w:val="top"/>
    </w:pPr>
    <w:rPr>
      <w:rFonts w:eastAsia="Times New Roman" w:cs="Arial"/>
      <w:sz w:val="16"/>
      <w:szCs w:val="16"/>
      <w:lang w:eastAsia="en-GB"/>
    </w:rPr>
  </w:style>
  <w:style w:type="paragraph" w:customStyle="1" w:styleId="xl82">
    <w:name w:val="xl82"/>
    <w:basedOn w:val="Normal"/>
    <w:rsid w:val="002E73E6"/>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83">
    <w:name w:val="xl83"/>
    <w:basedOn w:val="Normal"/>
    <w:rsid w:val="002E73E6"/>
    <w:pPr>
      <w:spacing w:before="100" w:beforeAutospacing="1" w:after="100" w:afterAutospacing="1" w:line="240" w:lineRule="auto"/>
      <w:jc w:val="left"/>
      <w:textAlignment w:val="top"/>
    </w:pPr>
    <w:rPr>
      <w:rFonts w:eastAsia="Times New Roman" w:cs="Arial"/>
      <w:sz w:val="32"/>
      <w:szCs w:val="32"/>
      <w:lang w:eastAsia="en-GB"/>
    </w:rPr>
  </w:style>
  <w:style w:type="paragraph" w:customStyle="1" w:styleId="xl84">
    <w:name w:val="xl84"/>
    <w:basedOn w:val="Normal"/>
    <w:rsid w:val="002E73E6"/>
    <w:pPr>
      <w:spacing w:before="100" w:beforeAutospacing="1" w:after="100" w:afterAutospacing="1" w:line="240" w:lineRule="auto"/>
      <w:jc w:val="center"/>
      <w:textAlignment w:val="top"/>
    </w:pPr>
    <w:rPr>
      <w:rFonts w:eastAsia="Times New Roman" w:cs="Arial"/>
      <w:sz w:val="24"/>
      <w:szCs w:val="24"/>
      <w:lang w:eastAsia="en-GB"/>
    </w:rPr>
  </w:style>
  <w:style w:type="paragraph" w:customStyle="1" w:styleId="xl85">
    <w:name w:val="xl85"/>
    <w:basedOn w:val="Normal"/>
    <w:rsid w:val="002E73E6"/>
    <w:pPr>
      <w:spacing w:before="100" w:beforeAutospacing="1" w:after="100" w:afterAutospacing="1" w:line="240" w:lineRule="auto"/>
      <w:jc w:val="left"/>
      <w:textAlignment w:val="center"/>
    </w:pPr>
    <w:rPr>
      <w:rFonts w:eastAsia="Times New Roman" w:cs="Arial"/>
      <w:sz w:val="32"/>
      <w:szCs w:val="32"/>
      <w:lang w:eastAsia="en-GB"/>
    </w:rPr>
  </w:style>
  <w:style w:type="paragraph" w:customStyle="1" w:styleId="xl86">
    <w:name w:val="xl86"/>
    <w:basedOn w:val="Normal"/>
    <w:rsid w:val="002E73E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eastAsia="Times New Roman" w:cs="Arial"/>
      <w:sz w:val="24"/>
      <w:szCs w:val="24"/>
      <w:lang w:eastAsia="en-GB"/>
    </w:rPr>
  </w:style>
  <w:style w:type="paragraph" w:customStyle="1" w:styleId="xl87">
    <w:name w:val="xl87"/>
    <w:basedOn w:val="Normal"/>
    <w:rsid w:val="002E73E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eastAsia="Times New Roman" w:cs="Arial"/>
      <w:sz w:val="24"/>
      <w:szCs w:val="24"/>
      <w:lang w:eastAsia="en-GB"/>
    </w:rPr>
  </w:style>
  <w:style w:type="paragraph" w:customStyle="1" w:styleId="xl88">
    <w:name w:val="xl88"/>
    <w:basedOn w:val="Normal"/>
    <w:rsid w:val="002E73E6"/>
    <w:pPr>
      <w:spacing w:before="100" w:beforeAutospacing="1" w:after="100" w:afterAutospacing="1" w:line="240" w:lineRule="auto"/>
      <w:jc w:val="left"/>
      <w:textAlignment w:val="center"/>
    </w:pPr>
    <w:rPr>
      <w:rFonts w:eastAsia="Times New Roman" w:cs="Arial"/>
      <w:sz w:val="24"/>
      <w:szCs w:val="24"/>
      <w:lang w:eastAsia="en-GB"/>
    </w:rPr>
  </w:style>
  <w:style w:type="paragraph" w:customStyle="1" w:styleId="xl89">
    <w:name w:val="xl89"/>
    <w:basedOn w:val="Normal"/>
    <w:rsid w:val="002E73E6"/>
    <w:pPr>
      <w:spacing w:before="100" w:beforeAutospacing="1" w:after="100" w:afterAutospacing="1" w:line="240" w:lineRule="auto"/>
      <w:jc w:val="left"/>
      <w:textAlignment w:val="top"/>
    </w:pPr>
    <w:rPr>
      <w:rFonts w:eastAsia="Times New Roman" w:cs="Arial"/>
      <w:b/>
      <w:bCs/>
      <w:sz w:val="24"/>
      <w:szCs w:val="24"/>
      <w:u w:val="single"/>
      <w:lang w:eastAsia="en-GB"/>
    </w:rPr>
  </w:style>
  <w:style w:type="paragraph" w:customStyle="1" w:styleId="xl90">
    <w:name w:val="xl90"/>
    <w:basedOn w:val="Normal"/>
    <w:rsid w:val="002E73E6"/>
    <w:pP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91">
    <w:name w:val="xl91"/>
    <w:basedOn w:val="Normal"/>
    <w:rsid w:val="002E73E6"/>
    <w:pPr>
      <w:spacing w:before="100" w:beforeAutospacing="1" w:after="100" w:afterAutospacing="1" w:line="240" w:lineRule="auto"/>
      <w:jc w:val="left"/>
      <w:textAlignment w:val="top"/>
    </w:pPr>
    <w:rPr>
      <w:rFonts w:eastAsia="Times New Roman" w:cs="Arial"/>
      <w:sz w:val="16"/>
      <w:szCs w:val="16"/>
      <w:lang w:eastAsia="en-GB"/>
    </w:rPr>
  </w:style>
  <w:style w:type="paragraph" w:customStyle="1" w:styleId="xl92">
    <w:name w:val="xl92"/>
    <w:basedOn w:val="Normal"/>
    <w:rsid w:val="002E73E6"/>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93">
    <w:name w:val="xl93"/>
    <w:basedOn w:val="Normal"/>
    <w:rsid w:val="002E73E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94">
    <w:name w:val="xl94"/>
    <w:basedOn w:val="Normal"/>
    <w:rsid w:val="002E73E6"/>
    <w:pPr>
      <w:spacing w:before="100" w:beforeAutospacing="1" w:after="100" w:afterAutospacing="1" w:line="240" w:lineRule="auto"/>
      <w:jc w:val="left"/>
      <w:textAlignment w:val="top"/>
    </w:pPr>
    <w:rPr>
      <w:rFonts w:eastAsia="Times New Roman" w:cs="Arial"/>
      <w:sz w:val="24"/>
      <w:szCs w:val="24"/>
      <w:lang w:eastAsia="en-GB"/>
    </w:rPr>
  </w:style>
  <w:style w:type="paragraph" w:customStyle="1" w:styleId="xl95">
    <w:name w:val="xl95"/>
    <w:basedOn w:val="Normal"/>
    <w:rsid w:val="002E73E6"/>
    <w:pPr>
      <w:spacing w:before="100" w:beforeAutospacing="1" w:after="100" w:afterAutospacing="1" w:line="240" w:lineRule="auto"/>
      <w:jc w:val="center"/>
      <w:textAlignment w:val="top"/>
    </w:pPr>
    <w:rPr>
      <w:rFonts w:eastAsia="Times New Roman" w:cs="Arial"/>
      <w:sz w:val="32"/>
      <w:szCs w:val="32"/>
      <w:lang w:eastAsia="en-GB"/>
    </w:rPr>
  </w:style>
  <w:style w:type="paragraph" w:customStyle="1" w:styleId="xl96">
    <w:name w:val="xl96"/>
    <w:basedOn w:val="Normal"/>
    <w:rsid w:val="002E73E6"/>
    <w:pPr>
      <w:spacing w:before="100" w:beforeAutospacing="1" w:after="100" w:afterAutospacing="1" w:line="240" w:lineRule="auto"/>
      <w:jc w:val="center"/>
      <w:textAlignment w:val="top"/>
    </w:pPr>
    <w:rPr>
      <w:rFonts w:eastAsia="Times New Roman" w:cs="Arial"/>
      <w:sz w:val="24"/>
      <w:szCs w:val="24"/>
      <w:lang w:eastAsia="en-GB"/>
    </w:rPr>
  </w:style>
  <w:style w:type="paragraph" w:customStyle="1" w:styleId="xl97">
    <w:name w:val="xl97"/>
    <w:basedOn w:val="Normal"/>
    <w:rsid w:val="002E73E6"/>
    <w:pPr>
      <w:spacing w:before="100" w:beforeAutospacing="1" w:after="100" w:afterAutospacing="1" w:line="240" w:lineRule="auto"/>
      <w:jc w:val="center"/>
      <w:textAlignment w:val="top"/>
    </w:pPr>
    <w:rPr>
      <w:rFonts w:eastAsia="Times New Roman" w:cs="Arial"/>
      <w:sz w:val="24"/>
      <w:szCs w:val="24"/>
      <w:lang w:eastAsia="en-GB"/>
    </w:rPr>
  </w:style>
  <w:style w:type="paragraph" w:customStyle="1" w:styleId="xl98">
    <w:name w:val="xl98"/>
    <w:basedOn w:val="Normal"/>
    <w:rsid w:val="002E73E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rsid w:val="002E73E6"/>
    <w:pPr>
      <w:spacing w:before="100" w:beforeAutospacing="1" w:after="100" w:afterAutospacing="1" w:line="240" w:lineRule="auto"/>
      <w:jc w:val="left"/>
    </w:pPr>
    <w:rPr>
      <w:rFonts w:ascii="Times New Roman" w:eastAsia="Times New Roman" w:hAnsi="Times New Roman" w:cs="Times New Roman"/>
      <w:b/>
      <w:bCs/>
      <w:sz w:val="24"/>
      <w:szCs w:val="24"/>
      <w:lang w:eastAsia="en-GB"/>
    </w:rPr>
  </w:style>
  <w:style w:type="paragraph" w:customStyle="1" w:styleId="xl100">
    <w:name w:val="xl100"/>
    <w:basedOn w:val="Normal"/>
    <w:rsid w:val="002E73E6"/>
    <w:pPr>
      <w:pBdr>
        <w:top w:val="single" w:sz="4" w:space="0" w:color="BFBFBF"/>
        <w:bottom w:val="single" w:sz="4" w:space="0" w:color="BFBFBF"/>
      </w:pBd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101">
    <w:name w:val="xl101"/>
    <w:basedOn w:val="Normal"/>
    <w:rsid w:val="002E73E6"/>
    <w:pPr>
      <w:pBdr>
        <w:top w:val="single" w:sz="4" w:space="0" w:color="BFBFBF"/>
        <w:bottom w:val="single" w:sz="4" w:space="0" w:color="BFBFBF"/>
      </w:pBd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102">
    <w:name w:val="xl102"/>
    <w:basedOn w:val="Normal"/>
    <w:rsid w:val="002E73E6"/>
    <w:pPr>
      <w:pBdr>
        <w:top w:val="single" w:sz="4" w:space="0" w:color="BFBFBF"/>
        <w:bottom w:val="single" w:sz="4" w:space="0" w:color="BFBFBF"/>
      </w:pBd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103">
    <w:name w:val="xl103"/>
    <w:basedOn w:val="Normal"/>
    <w:rsid w:val="002E73E6"/>
    <w:pPr>
      <w:pBdr>
        <w:top w:val="single" w:sz="4" w:space="0" w:color="BFBFBF"/>
        <w:bottom w:val="single" w:sz="4" w:space="0" w:color="BFBFBF"/>
      </w:pBdr>
      <w:spacing w:before="100" w:beforeAutospacing="1" w:after="100" w:afterAutospacing="1" w:line="240" w:lineRule="auto"/>
      <w:jc w:val="left"/>
      <w:textAlignment w:val="top"/>
    </w:pPr>
    <w:rPr>
      <w:rFonts w:eastAsia="Times New Roman" w:cs="Arial"/>
      <w:b/>
      <w:bCs/>
      <w:sz w:val="24"/>
      <w:szCs w:val="24"/>
      <w:lang w:eastAsia="en-GB"/>
    </w:rPr>
  </w:style>
  <w:style w:type="paragraph" w:customStyle="1" w:styleId="xl104">
    <w:name w:val="xl104"/>
    <w:basedOn w:val="Normal"/>
    <w:rsid w:val="002E73E6"/>
    <w:pPr>
      <w:spacing w:before="100" w:beforeAutospacing="1" w:after="100" w:afterAutospacing="1" w:line="240" w:lineRule="auto"/>
      <w:jc w:val="left"/>
      <w:textAlignment w:val="top"/>
    </w:pPr>
    <w:rPr>
      <w:rFonts w:eastAsia="Times New Roman" w:cs="Arial"/>
      <w:b/>
      <w:bCs/>
      <w:sz w:val="28"/>
      <w:szCs w:val="28"/>
      <w:lang w:eastAsia="en-GB"/>
    </w:rPr>
  </w:style>
  <w:style w:type="paragraph" w:customStyle="1" w:styleId="xl105">
    <w:name w:val="xl105"/>
    <w:basedOn w:val="Normal"/>
    <w:rsid w:val="002E73E6"/>
    <w:pPr>
      <w:spacing w:before="100" w:beforeAutospacing="1" w:after="100" w:afterAutospacing="1" w:line="240" w:lineRule="auto"/>
      <w:jc w:val="center"/>
      <w:textAlignment w:val="top"/>
    </w:pPr>
    <w:rPr>
      <w:rFonts w:eastAsia="Times New Roman" w:cs="Arial"/>
      <w:b/>
      <w:bCs/>
      <w:sz w:val="28"/>
      <w:szCs w:val="28"/>
      <w:lang w:eastAsia="en-GB"/>
    </w:rPr>
  </w:style>
  <w:style w:type="character" w:styleId="CommentReference">
    <w:name w:val="annotation reference"/>
    <w:basedOn w:val="DefaultParagraphFont"/>
    <w:uiPriority w:val="99"/>
    <w:semiHidden/>
    <w:unhideWhenUsed/>
    <w:rsid w:val="00D902E6"/>
    <w:rPr>
      <w:sz w:val="16"/>
      <w:szCs w:val="16"/>
    </w:rPr>
  </w:style>
  <w:style w:type="paragraph" w:styleId="CommentText">
    <w:name w:val="annotation text"/>
    <w:basedOn w:val="Normal"/>
    <w:link w:val="CommentTextChar"/>
    <w:uiPriority w:val="99"/>
    <w:semiHidden/>
    <w:unhideWhenUsed/>
    <w:rsid w:val="00D902E6"/>
    <w:pPr>
      <w:spacing w:line="240" w:lineRule="auto"/>
    </w:pPr>
    <w:rPr>
      <w:sz w:val="20"/>
      <w:szCs w:val="20"/>
    </w:rPr>
  </w:style>
  <w:style w:type="character" w:customStyle="1" w:styleId="CommentTextChar">
    <w:name w:val="Comment Text Char"/>
    <w:basedOn w:val="DefaultParagraphFont"/>
    <w:link w:val="CommentText"/>
    <w:uiPriority w:val="99"/>
    <w:semiHidden/>
    <w:rsid w:val="00D902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02E6"/>
    <w:rPr>
      <w:b/>
      <w:bCs/>
    </w:rPr>
  </w:style>
  <w:style w:type="character" w:customStyle="1" w:styleId="CommentSubjectChar">
    <w:name w:val="Comment Subject Char"/>
    <w:basedOn w:val="CommentTextChar"/>
    <w:link w:val="CommentSubject"/>
    <w:uiPriority w:val="99"/>
    <w:semiHidden/>
    <w:rsid w:val="00D902E6"/>
    <w:rPr>
      <w:rFonts w:ascii="Arial" w:hAnsi="Arial"/>
      <w:b/>
      <w:bCs/>
      <w:sz w:val="20"/>
      <w:szCs w:val="20"/>
    </w:rPr>
  </w:style>
  <w:style w:type="character" w:customStyle="1" w:styleId="Heading4Char">
    <w:name w:val="Heading 4 Char"/>
    <w:basedOn w:val="DefaultParagraphFont"/>
    <w:link w:val="Heading4"/>
    <w:uiPriority w:val="9"/>
    <w:semiHidden/>
    <w:rsid w:val="009712AD"/>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9712AD"/>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712A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507">
      <w:bodyDiv w:val="1"/>
      <w:marLeft w:val="0"/>
      <w:marRight w:val="0"/>
      <w:marTop w:val="0"/>
      <w:marBottom w:val="0"/>
      <w:divBdr>
        <w:top w:val="none" w:sz="0" w:space="0" w:color="auto"/>
        <w:left w:val="none" w:sz="0" w:space="0" w:color="auto"/>
        <w:bottom w:val="none" w:sz="0" w:space="0" w:color="auto"/>
        <w:right w:val="none" w:sz="0" w:space="0" w:color="auto"/>
      </w:divBdr>
    </w:div>
    <w:div w:id="234365983">
      <w:bodyDiv w:val="1"/>
      <w:marLeft w:val="0"/>
      <w:marRight w:val="0"/>
      <w:marTop w:val="0"/>
      <w:marBottom w:val="0"/>
      <w:divBdr>
        <w:top w:val="none" w:sz="0" w:space="0" w:color="auto"/>
        <w:left w:val="none" w:sz="0" w:space="0" w:color="auto"/>
        <w:bottom w:val="none" w:sz="0" w:space="0" w:color="auto"/>
        <w:right w:val="none" w:sz="0" w:space="0" w:color="auto"/>
      </w:divBdr>
    </w:div>
    <w:div w:id="457533919">
      <w:bodyDiv w:val="1"/>
      <w:marLeft w:val="0"/>
      <w:marRight w:val="0"/>
      <w:marTop w:val="0"/>
      <w:marBottom w:val="0"/>
      <w:divBdr>
        <w:top w:val="none" w:sz="0" w:space="0" w:color="auto"/>
        <w:left w:val="none" w:sz="0" w:space="0" w:color="auto"/>
        <w:bottom w:val="none" w:sz="0" w:space="0" w:color="auto"/>
        <w:right w:val="none" w:sz="0" w:space="0" w:color="auto"/>
      </w:divBdr>
    </w:div>
    <w:div w:id="654263646">
      <w:bodyDiv w:val="1"/>
      <w:marLeft w:val="0"/>
      <w:marRight w:val="0"/>
      <w:marTop w:val="0"/>
      <w:marBottom w:val="0"/>
      <w:divBdr>
        <w:top w:val="none" w:sz="0" w:space="0" w:color="auto"/>
        <w:left w:val="none" w:sz="0" w:space="0" w:color="auto"/>
        <w:bottom w:val="none" w:sz="0" w:space="0" w:color="auto"/>
        <w:right w:val="none" w:sz="0" w:space="0" w:color="auto"/>
      </w:divBdr>
    </w:div>
    <w:div w:id="798374440">
      <w:bodyDiv w:val="1"/>
      <w:marLeft w:val="0"/>
      <w:marRight w:val="0"/>
      <w:marTop w:val="0"/>
      <w:marBottom w:val="0"/>
      <w:divBdr>
        <w:top w:val="none" w:sz="0" w:space="0" w:color="auto"/>
        <w:left w:val="none" w:sz="0" w:space="0" w:color="auto"/>
        <w:bottom w:val="none" w:sz="0" w:space="0" w:color="auto"/>
        <w:right w:val="none" w:sz="0" w:space="0" w:color="auto"/>
      </w:divBdr>
    </w:div>
    <w:div w:id="912005285">
      <w:bodyDiv w:val="1"/>
      <w:marLeft w:val="0"/>
      <w:marRight w:val="0"/>
      <w:marTop w:val="0"/>
      <w:marBottom w:val="0"/>
      <w:divBdr>
        <w:top w:val="none" w:sz="0" w:space="0" w:color="auto"/>
        <w:left w:val="none" w:sz="0" w:space="0" w:color="auto"/>
        <w:bottom w:val="none" w:sz="0" w:space="0" w:color="auto"/>
        <w:right w:val="none" w:sz="0" w:space="0" w:color="auto"/>
      </w:divBdr>
    </w:div>
    <w:div w:id="1246256683">
      <w:bodyDiv w:val="1"/>
      <w:marLeft w:val="0"/>
      <w:marRight w:val="0"/>
      <w:marTop w:val="0"/>
      <w:marBottom w:val="0"/>
      <w:divBdr>
        <w:top w:val="none" w:sz="0" w:space="0" w:color="auto"/>
        <w:left w:val="none" w:sz="0" w:space="0" w:color="auto"/>
        <w:bottom w:val="none" w:sz="0" w:space="0" w:color="auto"/>
        <w:right w:val="none" w:sz="0" w:space="0" w:color="auto"/>
      </w:divBdr>
    </w:div>
    <w:div w:id="1416316010">
      <w:bodyDiv w:val="1"/>
      <w:marLeft w:val="0"/>
      <w:marRight w:val="0"/>
      <w:marTop w:val="0"/>
      <w:marBottom w:val="0"/>
      <w:divBdr>
        <w:top w:val="none" w:sz="0" w:space="0" w:color="auto"/>
        <w:left w:val="none" w:sz="0" w:space="0" w:color="auto"/>
        <w:bottom w:val="none" w:sz="0" w:space="0" w:color="auto"/>
        <w:right w:val="none" w:sz="0" w:space="0" w:color="auto"/>
      </w:divBdr>
    </w:div>
    <w:div w:id="1434857967">
      <w:bodyDiv w:val="1"/>
      <w:marLeft w:val="0"/>
      <w:marRight w:val="0"/>
      <w:marTop w:val="0"/>
      <w:marBottom w:val="0"/>
      <w:divBdr>
        <w:top w:val="none" w:sz="0" w:space="0" w:color="auto"/>
        <w:left w:val="none" w:sz="0" w:space="0" w:color="auto"/>
        <w:bottom w:val="none" w:sz="0" w:space="0" w:color="auto"/>
        <w:right w:val="none" w:sz="0" w:space="0" w:color="auto"/>
      </w:divBdr>
    </w:div>
    <w:div w:id="1585260280">
      <w:bodyDiv w:val="1"/>
      <w:marLeft w:val="0"/>
      <w:marRight w:val="0"/>
      <w:marTop w:val="0"/>
      <w:marBottom w:val="0"/>
      <w:divBdr>
        <w:top w:val="none" w:sz="0" w:space="0" w:color="auto"/>
        <w:left w:val="none" w:sz="0" w:space="0" w:color="auto"/>
        <w:bottom w:val="none" w:sz="0" w:space="0" w:color="auto"/>
        <w:right w:val="none" w:sz="0" w:space="0" w:color="auto"/>
      </w:divBdr>
    </w:div>
    <w:div w:id="1586761299">
      <w:bodyDiv w:val="1"/>
      <w:marLeft w:val="0"/>
      <w:marRight w:val="0"/>
      <w:marTop w:val="0"/>
      <w:marBottom w:val="0"/>
      <w:divBdr>
        <w:top w:val="none" w:sz="0" w:space="0" w:color="auto"/>
        <w:left w:val="none" w:sz="0" w:space="0" w:color="auto"/>
        <w:bottom w:val="none" w:sz="0" w:space="0" w:color="auto"/>
        <w:right w:val="none" w:sz="0" w:space="0" w:color="auto"/>
      </w:divBdr>
    </w:div>
    <w:div w:id="1707562278">
      <w:bodyDiv w:val="1"/>
      <w:marLeft w:val="0"/>
      <w:marRight w:val="0"/>
      <w:marTop w:val="0"/>
      <w:marBottom w:val="0"/>
      <w:divBdr>
        <w:top w:val="none" w:sz="0" w:space="0" w:color="auto"/>
        <w:left w:val="none" w:sz="0" w:space="0" w:color="auto"/>
        <w:bottom w:val="none" w:sz="0" w:space="0" w:color="auto"/>
        <w:right w:val="none" w:sz="0" w:space="0" w:color="auto"/>
      </w:divBdr>
    </w:div>
    <w:div w:id="1829785686">
      <w:bodyDiv w:val="1"/>
      <w:marLeft w:val="0"/>
      <w:marRight w:val="0"/>
      <w:marTop w:val="0"/>
      <w:marBottom w:val="0"/>
      <w:divBdr>
        <w:top w:val="none" w:sz="0" w:space="0" w:color="auto"/>
        <w:left w:val="none" w:sz="0" w:space="0" w:color="auto"/>
        <w:bottom w:val="none" w:sz="0" w:space="0" w:color="auto"/>
        <w:right w:val="none" w:sz="0" w:space="0" w:color="auto"/>
      </w:divBdr>
    </w:div>
    <w:div w:id="2024894202">
      <w:bodyDiv w:val="1"/>
      <w:marLeft w:val="0"/>
      <w:marRight w:val="0"/>
      <w:marTop w:val="0"/>
      <w:marBottom w:val="0"/>
      <w:divBdr>
        <w:top w:val="none" w:sz="0" w:space="0" w:color="auto"/>
        <w:left w:val="none" w:sz="0" w:space="0" w:color="auto"/>
        <w:bottom w:val="none" w:sz="0" w:space="0" w:color="auto"/>
        <w:right w:val="none" w:sz="0" w:space="0" w:color="auto"/>
      </w:divBdr>
    </w:div>
    <w:div w:id="2054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395C-9DA3-49C2-9EA0-9D62B49E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James</dc:creator>
  <cp:keywords/>
  <dc:description/>
  <cp:lastModifiedBy>Blundell, Jane</cp:lastModifiedBy>
  <cp:revision>7</cp:revision>
  <cp:lastPrinted>2017-10-16T14:00:00Z</cp:lastPrinted>
  <dcterms:created xsi:type="dcterms:W3CDTF">2017-11-06T15:49:00Z</dcterms:created>
  <dcterms:modified xsi:type="dcterms:W3CDTF">2017-11-06T16:16:00Z</dcterms:modified>
</cp:coreProperties>
</file>